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4A12DA">
      <w:pPr>
        <w:widowControl/>
        <w:spacing w:line="440" w:lineRule="atLeast"/>
        <w:jc w:val="center"/>
        <w:rPr>
          <w:rFonts w:hint="eastAsia" w:ascii="华文中宋" w:hAnsi="华文中宋" w:eastAsia="华文中宋" w:cs="宋体"/>
          <w:b/>
          <w:color w:val="FF0000"/>
          <w:sz w:val="36"/>
          <w:szCs w:val="36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-401320</wp:posOffset>
                </wp:positionH>
                <wp:positionV relativeFrom="paragraph">
                  <wp:posOffset>-271780</wp:posOffset>
                </wp:positionV>
                <wp:extent cx="6478270" cy="1944370"/>
                <wp:effectExtent l="0" t="0" r="17780" b="1778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270" cy="194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00CADC">
                            <w:pPr>
                              <w:spacing w:before="439" w:line="1025" w:lineRule="exact"/>
                              <w:jc w:val="distribute"/>
                              <w:rPr>
                                <w:rFonts w:hint="eastAsia" w:ascii="方正公文小标宋" w:hAnsi="方正公文小标宋" w:eastAsia="方正公文小标宋" w:cs="方正公文小标宋"/>
                                <w:color w:val="FF0000"/>
                                <w:w w:val="60"/>
                                <w:position w:val="1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hint="eastAsia" w:ascii="方正公文小标宋" w:hAnsi="方正公文小标宋" w:eastAsia="方正公文小标宋" w:cs="方正公文小标宋"/>
                                <w:color w:val="FF0000"/>
                                <w:w w:val="60"/>
                                <w:position w:val="10"/>
                                <w:sz w:val="90"/>
                                <w:szCs w:val="90"/>
                              </w:rPr>
                              <w:t>新质生产力发展促进中心</w:t>
                            </w:r>
                          </w:p>
                          <w:p w14:paraId="5D734824">
                            <w:pPr>
                              <w:spacing w:before="439" w:line="1025" w:lineRule="exact"/>
                              <w:jc w:val="distribute"/>
                              <w:rPr>
                                <w:rFonts w:hint="default" w:ascii="方正公文小标宋" w:hAnsi="方正公文小标宋" w:eastAsia="方正公文小标宋" w:cs="方正公文小标宋"/>
                                <w:color w:val="FF0000"/>
                                <w:w w:val="60"/>
                                <w:position w:val="10"/>
                                <w:sz w:val="90"/>
                                <w:szCs w:val="9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公文小标宋" w:hAnsi="方正公文小标宋" w:eastAsia="方正公文小标宋" w:cs="方正公文小标宋"/>
                                <w:color w:val="FF0000"/>
                                <w:w w:val="60"/>
                                <w:position w:val="10"/>
                                <w:sz w:val="90"/>
                                <w:szCs w:val="90"/>
                                <w:lang w:val="en-US" w:eastAsia="zh-CN"/>
                              </w:rPr>
                              <w:t>国企联培企业管理（北京）中心</w:t>
                            </w:r>
                          </w:p>
                          <w:p w14:paraId="2AA38557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6pt;margin-top:-21.4pt;height:153.1pt;width:510.1pt;z-index:251659264;mso-width-relative:page;mso-height-relative:page;" fillcolor="#FFFFFF" filled="t" stroked="f" coordsize="21600,21600" o:gfxdata="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APpfI2QAAAAsBAAAPAAAAAAAAAAEAIAAAACIAAABkcnMvZG93bnJldi54&#10;bWxQSwECFAAUAAAACACHTuJAuSbT68ABAAB4AwAADgAAAAAAAAABACAAAAAo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400CADC">
                      <w:pPr>
                        <w:spacing w:before="439" w:line="1025" w:lineRule="exact"/>
                        <w:jc w:val="distribute"/>
                        <w:rPr>
                          <w:rFonts w:hint="eastAsia" w:ascii="方正公文小标宋" w:hAnsi="方正公文小标宋" w:eastAsia="方正公文小标宋" w:cs="方正公文小标宋"/>
                          <w:color w:val="FF0000"/>
                          <w:w w:val="60"/>
                          <w:position w:val="10"/>
                          <w:sz w:val="90"/>
                          <w:szCs w:val="90"/>
                        </w:rPr>
                      </w:pPr>
                      <w:r>
                        <w:rPr>
                          <w:rFonts w:hint="eastAsia" w:ascii="方正公文小标宋" w:hAnsi="方正公文小标宋" w:eastAsia="方正公文小标宋" w:cs="方正公文小标宋"/>
                          <w:color w:val="FF0000"/>
                          <w:w w:val="60"/>
                          <w:position w:val="10"/>
                          <w:sz w:val="90"/>
                          <w:szCs w:val="90"/>
                        </w:rPr>
                        <w:t>新质生产力发展促进中心</w:t>
                      </w:r>
                    </w:p>
                    <w:p w14:paraId="5D734824">
                      <w:pPr>
                        <w:spacing w:before="439" w:line="1025" w:lineRule="exact"/>
                        <w:jc w:val="distribute"/>
                        <w:rPr>
                          <w:rFonts w:hint="default" w:ascii="方正公文小标宋" w:hAnsi="方正公文小标宋" w:eastAsia="方正公文小标宋" w:cs="方正公文小标宋"/>
                          <w:color w:val="FF0000"/>
                          <w:w w:val="60"/>
                          <w:position w:val="10"/>
                          <w:sz w:val="90"/>
                          <w:szCs w:val="90"/>
                          <w:lang w:val="en-US" w:eastAsia="zh-CN"/>
                        </w:rPr>
                      </w:pPr>
                      <w:r>
                        <w:rPr>
                          <w:rFonts w:hint="eastAsia" w:ascii="方正公文小标宋" w:hAnsi="方正公文小标宋" w:eastAsia="方正公文小标宋" w:cs="方正公文小标宋"/>
                          <w:color w:val="FF0000"/>
                          <w:w w:val="60"/>
                          <w:position w:val="10"/>
                          <w:sz w:val="90"/>
                          <w:szCs w:val="90"/>
                          <w:lang w:val="en-US" w:eastAsia="zh-CN"/>
                        </w:rPr>
                        <w:t>国企联培企业管理（北京）中心</w:t>
                      </w:r>
                    </w:p>
                    <w:p w14:paraId="2AA38557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C22B83">
      <w:pPr>
        <w:widowControl/>
        <w:spacing w:line="440" w:lineRule="atLeast"/>
        <w:jc w:val="center"/>
        <w:rPr>
          <w:rFonts w:hint="eastAsia" w:ascii="华文中宋" w:hAnsi="华文中宋" w:eastAsia="华文中宋" w:cs="宋体"/>
          <w:b/>
          <w:color w:val="FF0000"/>
          <w:sz w:val="36"/>
          <w:szCs w:val="36"/>
        </w:rPr>
      </w:pPr>
    </w:p>
    <w:p w14:paraId="3F0BECDF">
      <w:pPr>
        <w:widowControl/>
        <w:spacing w:line="440" w:lineRule="atLeast"/>
        <w:jc w:val="center"/>
        <w:rPr>
          <w:rFonts w:hint="eastAsia" w:ascii="华文中宋" w:hAnsi="华文中宋" w:eastAsia="华文中宋" w:cs="宋体"/>
          <w:b/>
          <w:color w:val="FF0000"/>
          <w:sz w:val="36"/>
          <w:szCs w:val="36"/>
        </w:rPr>
      </w:pPr>
    </w:p>
    <w:p w14:paraId="478B0E43">
      <w:pPr>
        <w:widowControl/>
        <w:spacing w:line="440" w:lineRule="atLeast"/>
        <w:jc w:val="center"/>
        <w:rPr>
          <w:rFonts w:hint="eastAsia" w:ascii="华文中宋" w:hAnsi="华文中宋" w:eastAsia="华文中宋" w:cs="宋体"/>
          <w:b/>
          <w:color w:val="FF0000"/>
          <w:sz w:val="36"/>
          <w:szCs w:val="36"/>
        </w:rPr>
      </w:pPr>
    </w:p>
    <w:p w14:paraId="3CAF05B8">
      <w:pPr>
        <w:widowControl/>
        <w:spacing w:line="440" w:lineRule="atLeast"/>
        <w:jc w:val="center"/>
        <w:rPr>
          <w:rFonts w:hint="eastAsia" w:ascii="华文中宋" w:hAnsi="华文中宋" w:eastAsia="华文中宋" w:cs="宋体"/>
          <w:b/>
          <w:color w:val="FF0000"/>
          <w:sz w:val="36"/>
          <w:szCs w:val="36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219075</wp:posOffset>
            </wp:positionV>
            <wp:extent cx="6065520" cy="28575"/>
            <wp:effectExtent l="0" t="0" r="11430" b="9525"/>
            <wp:wrapNone/>
            <wp:docPr id="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7B3478">
      <w:pPr>
        <w:spacing w:line="580" w:lineRule="exact"/>
        <w:ind w:left="103" w:leftChars="49"/>
        <w:jc w:val="center"/>
        <w:rPr>
          <w:rFonts w:hint="eastAsia" w:ascii="黑体" w:hAnsi="黑体" w:eastAsia="黑体"/>
          <w:b/>
          <w:bCs/>
          <w:sz w:val="36"/>
          <w:szCs w:val="36"/>
        </w:rPr>
      </w:pPr>
    </w:p>
    <w:p w14:paraId="0E98A428">
      <w:pPr>
        <w:spacing w:line="580" w:lineRule="exact"/>
        <w:ind w:left="103" w:leftChars="49"/>
        <w:jc w:val="center"/>
        <w:rPr>
          <w:rFonts w:hint="eastAsia"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关于举办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“</w:t>
      </w:r>
      <w:r>
        <w:rPr>
          <w:rFonts w:hint="eastAsia" w:ascii="黑体" w:hAnsi="黑体" w:eastAsia="黑体"/>
          <w:b/>
          <w:bCs/>
          <w:sz w:val="36"/>
          <w:szCs w:val="36"/>
        </w:rPr>
        <w:t>破解财政困局、盘活存量、畅通融资渠道</w:t>
      </w:r>
    </w:p>
    <w:p w14:paraId="10DE4DBA">
      <w:pPr>
        <w:spacing w:line="580" w:lineRule="exact"/>
        <w:ind w:left="103" w:leftChars="49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暨2026年项目谋划、资金申报、城市更新、国企市场化转型实操高级研修班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”</w:t>
      </w:r>
      <w:r>
        <w:rPr>
          <w:rFonts w:hint="eastAsia" w:ascii="黑体" w:hAnsi="黑体" w:eastAsia="黑体"/>
          <w:b/>
          <w:bCs/>
          <w:sz w:val="36"/>
          <w:szCs w:val="36"/>
        </w:rPr>
        <w:t>的通知</w:t>
      </w:r>
    </w:p>
    <w:p w14:paraId="3B589F14">
      <w:pPr>
        <w:spacing w:line="520" w:lineRule="exact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</w:p>
    <w:p w14:paraId="51DB992F">
      <w:pPr>
        <w:spacing w:line="536" w:lineRule="exact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各有关单位：</w:t>
      </w:r>
    </w:p>
    <w:p w14:paraId="70906E86">
      <w:pPr>
        <w:spacing w:line="536" w:lineRule="exact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2026年作为我国“十五五”规划开局之年，各地政府正在加快储备、</w:t>
      </w:r>
    </w:p>
    <w:p w14:paraId="6FECEB56">
      <w:pPr>
        <w:spacing w:line="536" w:lineRule="exac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谋划、落地一批重点建设项目，抢抓新一轮发展窗口期。但是，当前全国多地普遍面临共性难题：土地财政大幅萎缩、税收增长乏力、各类财政性收入持续锐减，基建投入、民生保障、区域发展全面受制于资金短缺。与此同时，隐性债务监管日趋加强，违规举债、变相融资的路径彻底封死，传统发展与筹资模式已难以为继。</w:t>
      </w:r>
    </w:p>
    <w:p w14:paraId="6F0D285E">
      <w:pPr>
        <w:spacing w:line="536" w:lineRule="exact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在此严峻形势下，国家密集出台财政、金融协同调控政策，指引地方</w:t>
      </w:r>
    </w:p>
    <w:p w14:paraId="66D28E2A">
      <w:pPr>
        <w:spacing w:line="536" w:lineRule="exac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转变发展思路、创新筹资模式，从多维度破解财力不足、项目停滞、融资受限等发展难题：</w:t>
      </w:r>
    </w:p>
    <w:p w14:paraId="36A4D061">
      <w:pPr>
        <w:spacing w:line="536" w:lineRule="exact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一是全力攻坚三类资金申报，抢占政策红利。专项</w:t>
      </w:r>
      <w:r>
        <w:rPr>
          <w:rFonts w:ascii="仿宋" w:hAnsi="仿宋" w:eastAsia="仿宋"/>
          <w:sz w:val="28"/>
          <w:szCs w:val="28"/>
        </w:rPr>
        <w:t>债</w:t>
      </w:r>
      <w:r>
        <w:rPr>
          <w:rFonts w:hint="eastAsia" w:ascii="仿宋" w:hAnsi="仿宋" w:eastAsia="仿宋"/>
          <w:sz w:val="28"/>
          <w:szCs w:val="28"/>
        </w:rPr>
        <w:t>、超长期特别国</w:t>
      </w:r>
    </w:p>
    <w:p w14:paraId="6BDADB06">
      <w:pPr>
        <w:spacing w:line="536" w:lineRule="exac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债、中央预算内投资是当前地方发展的核心资金来源。吃透最新申报规则、投向要求与审核标准，精准谋划项目，抢抓申报节点，全力争取三类资金支持，快速补齐项目建设资金。</w:t>
      </w:r>
    </w:p>
    <w:p w14:paraId="46116173">
      <w:pPr>
        <w:spacing w:line="536" w:lineRule="exact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二是纵深推进存量资产盘活，拓宽财政增收渠道。立足后“土地财政”</w:t>
      </w:r>
    </w:p>
    <w:p w14:paraId="23D464C0">
      <w:pPr>
        <w:spacing w:line="536" w:lineRule="exac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发展阶段，以存量资产盘活作为增加财政收入的核心抓手，有效弥补土地收入下滑带来的财力缺口；全面借鉴湖北、安徽等地成熟的“三资三化”改革落地经验，赋能地方经济稳定发展。</w:t>
      </w:r>
    </w:p>
    <w:p w14:paraId="2629E9C6">
      <w:pPr>
        <w:spacing w:line="536" w:lineRule="exact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三是增强地方国企市场化融资能力，精准谋划市场化项目，保障项目高效落地。努力实现“专项债+国企资金+银行贷款”和“新型政策性金融工具+国企资金+银行贷款”的合规融资体系。</w:t>
      </w:r>
    </w:p>
    <w:p w14:paraId="30FA2A78">
      <w:pPr>
        <w:spacing w:line="536" w:lineRule="exact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四是立足“新规”要求，吃透PPP新机制运作逻辑，策划一批收益稳</w:t>
      </w:r>
    </w:p>
    <w:p w14:paraId="083C19C2">
      <w:pPr>
        <w:spacing w:line="536" w:lineRule="exac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定、模式成熟、高度贴合社会资本投资需求的优质项目。依托社会资本补充建设资金、缓解国资压力，借助其市场化运营管理优势，补齐地方平台运营短板，推动区域基础设施、公共服务项目长效良性发展。</w:t>
      </w:r>
    </w:p>
    <w:p w14:paraId="04B4EAFE">
      <w:pPr>
        <w:spacing w:line="536" w:lineRule="exact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五是锚定城市更新核心赛道。十五五规划已将城市更新列为国家的核</w:t>
      </w:r>
    </w:p>
    <w:p w14:paraId="2BA7B8A3">
      <w:pPr>
        <w:spacing w:line="536" w:lineRule="exac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心重点战略，其投资额大、涉及业态广、实施流程复杂，各地亟须科学规划实施路径，搭建多元化资金筹措体系，将其纳入“一把手工程”，狠抓落实、全力推进。</w:t>
      </w:r>
    </w:p>
    <w:p w14:paraId="5C631F0D">
      <w:pPr>
        <w:spacing w:line="536" w:lineRule="exact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综上，新质生产力发展促进中心联合北京中建科信管理咨询集团有限公司，举办“破解财政困局、盘活存量、畅通融资渠道暨2026年项目谋划、资金申报、城市更新、国企市场化转型实操高级研修班”。精准解读最新政策、聚焦实战落地、拆解典型案例及分享成熟经验，全方位助力地方抢抓政策机遇、突破发展困局。具体通知如下：</w:t>
      </w:r>
    </w:p>
    <w:p w14:paraId="61AB2DC2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一、培训内容</w:t>
      </w:r>
    </w:p>
    <w:p w14:paraId="7F0744DD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（一）2026年最新国家财政、金融和投融资政策解读</w:t>
      </w:r>
    </w:p>
    <w:p w14:paraId="54E9C6DF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1.基础设施相关领域十五五规划的要点解读；</w:t>
      </w:r>
    </w:p>
    <w:p w14:paraId="277F4B21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2.深度解读2026年更加积极的财政政策与适度宽松的货币政策；</w:t>
      </w:r>
    </w:p>
    <w:p w14:paraId="5971FCF7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3.中央12万亿化债政策的影响和项目投融资总体谋划策略；</w:t>
      </w:r>
    </w:p>
    <w:p w14:paraId="0502709E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4.二十届三中、四中全会投融资体制改革要点及财政体制改革对项目</w:t>
      </w:r>
    </w:p>
    <w:p w14:paraId="49A70B8E">
      <w:pPr>
        <w:spacing w:line="536" w:lineRule="exac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融资的影响；</w:t>
      </w:r>
    </w:p>
    <w:p w14:paraId="28731C3B">
      <w:pPr>
        <w:numPr>
          <w:ilvl w:val="0"/>
          <w:numId w:val="1"/>
        </w:num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审计署最新工作报告、财政部最新债务报告等对地方政府投融资的</w:t>
      </w:r>
    </w:p>
    <w:p w14:paraId="630ECE83">
      <w:pPr>
        <w:spacing w:line="536" w:lineRule="exac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影响和审计案例分析。</w:t>
      </w:r>
    </w:p>
    <w:p w14:paraId="4A155194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（二）专项债的申报实务操作</w:t>
      </w:r>
    </w:p>
    <w:p w14:paraId="2EE77A60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1.《国务院办公厅关于优化完善地方政府专项债券管理机制的意见》</w:t>
      </w:r>
    </w:p>
    <w:p w14:paraId="014E8607">
      <w:pPr>
        <w:spacing w:line="536" w:lineRule="exac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（国办发〔2024〕52号）的重点解读；</w:t>
      </w:r>
    </w:p>
    <w:p w14:paraId="3C786328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2.自审自发的试点扩围；</w:t>
      </w:r>
    </w:p>
    <w:p w14:paraId="7180BA3D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3.扩大专项债券投向领域与用作项目资本金的使用方式；</w:t>
      </w:r>
    </w:p>
    <w:p w14:paraId="7275B11D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4.如何理解专项债券额度对部分地区的倾斜及收益平衡的新规定；</w:t>
      </w:r>
    </w:p>
    <w:p w14:paraId="2818A896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5.部分省份下放专项债券项目审核权限带来的机遇与挑战；</w:t>
      </w:r>
    </w:p>
    <w:p w14:paraId="5508507E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6.专项债券资金使用加强监管的具体措施；</w:t>
      </w:r>
    </w:p>
    <w:p w14:paraId="3B04CEFC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7.如何积极储备和谋划好2026年专项债券项目。</w:t>
      </w:r>
    </w:p>
    <w:p w14:paraId="428571E3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（三）超长期特别国债的申报实务</w:t>
      </w:r>
    </w:p>
    <w:p w14:paraId="146EF13A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1.超长期特别国债的概念、申报范围；</w:t>
      </w:r>
    </w:p>
    <w:p w14:paraId="7F28F6CA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2.国家重大战略实施和重点领域安全能力建设的范围和领域；</w:t>
      </w:r>
    </w:p>
    <w:p w14:paraId="6190907A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3.超长期特别国债投资五大领域的对标储备谋划；</w:t>
      </w:r>
    </w:p>
    <w:p w14:paraId="02038425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4.超长期特别国债与中央预算内投资申请区别；</w:t>
      </w:r>
    </w:p>
    <w:p w14:paraId="5BF14187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5.超长期特别国债申报及审批流程与审核要点解析。</w:t>
      </w:r>
    </w:p>
    <w:p w14:paraId="516BB9D3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（四）中央预算内投资的申报实务</w:t>
      </w:r>
    </w:p>
    <w:p w14:paraId="2CC4C612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1.中央预算内投资重点支持的方向和领域分析；</w:t>
      </w:r>
    </w:p>
    <w:p w14:paraId="13EF6208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2.中央预算内投资的投资支持方式与申报要点；</w:t>
      </w:r>
    </w:p>
    <w:p w14:paraId="619076F0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3.中央预算内投资与政府专项债如何结合；</w:t>
      </w:r>
    </w:p>
    <w:p w14:paraId="7E2FD191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4.中央预算内投资与PPP特许经营模式的结合；</w:t>
      </w:r>
    </w:p>
    <w:p w14:paraId="0B879599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5.如何通过中央预算内投资破解项目投融资的困境。</w:t>
      </w:r>
    </w:p>
    <w:p w14:paraId="6B82D40A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（五）增量政策背景下的存量资产盘活</w:t>
      </w:r>
    </w:p>
    <w:p w14:paraId="150D6C16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1.十五五规划对于盘活存量资源的政策解读；</w:t>
      </w:r>
    </w:p>
    <w:p w14:paraId="3EF84390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2.通过TOT模式盘活存量资产的核心要点；</w:t>
      </w:r>
    </w:p>
    <w:p w14:paraId="5544AE4C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3.通过非PPP模式盘活政府公益性资产；</w:t>
      </w:r>
    </w:p>
    <w:p w14:paraId="46DF8249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4.国家发改委第二批盘活存量资产案例分析；</w:t>
      </w:r>
    </w:p>
    <w:p w14:paraId="0795FAD9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5.国家发改委1013号文对采用PPP模式盘活存量资产的新政策要点；</w:t>
      </w:r>
    </w:p>
    <w:p w14:paraId="1FC4FF85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6.盘活行政事业单位的存量资产及案例分析；</w:t>
      </w:r>
    </w:p>
    <w:p w14:paraId="638B5CFE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7.盘活市政公共资源与城市零星用地的要点与案例；</w:t>
      </w:r>
    </w:p>
    <w:p w14:paraId="747B67A5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8.盘活文旅、商业等商业资产的要点与案例；</w:t>
      </w:r>
    </w:p>
    <w:p w14:paraId="3D4409F2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9.盘活医院、酒店等资产的要点与案例。</w:t>
      </w:r>
    </w:p>
    <w:p w14:paraId="763E5D0E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（六）盘活存量土地的重点领域和案例分析</w:t>
      </w:r>
    </w:p>
    <w:p w14:paraId="5184E19D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1.低效用地五年过渡期的优惠政策内容；</w:t>
      </w:r>
    </w:p>
    <w:p w14:paraId="71D023DE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2.如何通过提高容积率盘活工业用地；</w:t>
      </w:r>
    </w:p>
    <w:p w14:paraId="58FCE1B3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3.“工业上楼”的政策、应用要点与实践案例分析；</w:t>
      </w:r>
    </w:p>
    <w:p w14:paraId="786B7926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4.利用工业用地建设宿舍型保障性租赁住房的案例分析；</w:t>
      </w:r>
    </w:p>
    <w:p w14:paraId="4E13A0F0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5.国有企业通过自主、联营、转让等多种方式推进存量土地的改造开</w:t>
      </w:r>
    </w:p>
    <w:p w14:paraId="6211F406">
      <w:pPr>
        <w:spacing w:line="536" w:lineRule="exac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发的应用要点及案例分析；</w:t>
      </w:r>
    </w:p>
    <w:p w14:paraId="65CB660A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6.探索难以独立开发的零星地块的使用方式及相关案例；</w:t>
      </w:r>
    </w:p>
    <w:p w14:paraId="471681FF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7.原土地使用权人自行改造开发的案例分析；</w:t>
      </w:r>
    </w:p>
    <w:p w14:paraId="4585F0D9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8.不同用途地块混合供应的案例分析。</w:t>
      </w:r>
    </w:p>
    <w:p w14:paraId="3E758D2C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（七）低效用地再开发的政府征收、收储与供应</w:t>
      </w:r>
    </w:p>
    <w:p w14:paraId="3EB5B0BE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1.政府征收与政府收储的区别与实施要点；</w:t>
      </w:r>
    </w:p>
    <w:p w14:paraId="5B4A481B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2.土地收储后的土地1.5级开发；</w:t>
      </w:r>
    </w:p>
    <w:p w14:paraId="4BBD20E7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3.地方国企的市场化土地整备转让模式（替代政府实施土地一级开发）。</w:t>
      </w:r>
    </w:p>
    <w:p w14:paraId="31A429BE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（八）城市更新项目谋划与投融资模式分析</w:t>
      </w:r>
    </w:p>
    <w:p w14:paraId="01E2201D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1.十五五规划下关于城市更新的最新政策解读；</w:t>
      </w:r>
    </w:p>
    <w:p w14:paraId="5AF6B3F4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2.城市更新的内涵分析及城市更新行动八项重点任务详解；</w:t>
      </w:r>
    </w:p>
    <w:p w14:paraId="4562730E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3.城市更新的专项规划与实施方案编制要点；</w:t>
      </w:r>
    </w:p>
    <w:p w14:paraId="6CE4C1A4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4.老旧小区改造及基础设施类项目的项目特点分析；</w:t>
      </w:r>
    </w:p>
    <w:p w14:paraId="1EE59D74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5.老旧街区、厂区改造的特别与投融资模式及案例分析；</w:t>
      </w:r>
    </w:p>
    <w:p w14:paraId="69D61BC4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6.城中村改造的项目运作模式及案例分析；</w:t>
      </w:r>
    </w:p>
    <w:p w14:paraId="55F429FC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7.地方国有企业获得土地使用权的自主开发模式；</w:t>
      </w:r>
    </w:p>
    <w:p w14:paraId="12FB8516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8.地方国有企业实现物业经营权归集的开发模式；</w:t>
      </w:r>
    </w:p>
    <w:p w14:paraId="562D5CFB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9.地方国有企业主导下的“投资人+EPC+O”模式；</w:t>
      </w:r>
    </w:p>
    <w:p w14:paraId="2554E7AC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10.政府主导下的投资模式；</w:t>
      </w:r>
    </w:p>
    <w:p w14:paraId="454866D5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11.住建部、财政部支持城市更新的中央资金申请；</w:t>
      </w:r>
    </w:p>
    <w:p w14:paraId="059DDFCF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12.运用新业态新模式新场景中央财政资金支持城市更新。</w:t>
      </w:r>
    </w:p>
    <w:p w14:paraId="149FC74B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（九）PPP新机制下的特许经营模式操作要点</w:t>
      </w:r>
    </w:p>
    <w:p w14:paraId="50AD3979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1.中央和地方关于PPP新机制的重要政策解读；</w:t>
      </w:r>
    </w:p>
    <w:p w14:paraId="2082BDC3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2.PPP新机制项目的适用领域和重点谋划项目类型；</w:t>
      </w:r>
    </w:p>
    <w:p w14:paraId="52B69D68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3.央国企如何在PPP新机制政策下获得地方政府特许经营项目；</w:t>
      </w:r>
    </w:p>
    <w:p w14:paraId="42C18821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4.地方政府通过特许经营模式盘活存量资产的要点；</w:t>
      </w:r>
    </w:p>
    <w:p w14:paraId="159042AB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5.政府投资支持在特许经营模式中的操作要点；</w:t>
      </w:r>
    </w:p>
    <w:p w14:paraId="5A5A4414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6.财政资金在特许经营项目运营期进行补贴的操作要点；</w:t>
      </w:r>
    </w:p>
    <w:p w14:paraId="53F2A8AD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7.特许经营模式在盘活存量和新建改扩建项目中应用的案例分析；</w:t>
      </w:r>
    </w:p>
    <w:p w14:paraId="1F3DE6E4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8.《关于规范政府和社会资本合作存量项目建设和运营的指导意见》</w:t>
      </w:r>
    </w:p>
    <w:p w14:paraId="24CF7DD7">
      <w:pPr>
        <w:spacing w:line="536" w:lineRule="exac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（国办函〔2025〕84号）出台的背景和存量PPP项目现状；</w:t>
      </w:r>
    </w:p>
    <w:p w14:paraId="471B5FBF">
      <w:pPr>
        <w:spacing w:line="536" w:lineRule="exact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9.政府方的依法履约按效付费的政策要求，拖欠付费的违规情形认定，</w:t>
      </w:r>
    </w:p>
    <w:p w14:paraId="0034F689">
      <w:pPr>
        <w:spacing w:line="536" w:lineRule="exac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涉及拖欠企业账款的应对策略；</w:t>
      </w:r>
    </w:p>
    <w:p w14:paraId="0AE29893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10.PPP存量项目处理的操作要点和案例分析。</w:t>
      </w:r>
    </w:p>
    <w:p w14:paraId="3203F8BA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（十）150文背景下的平台公司转型</w:t>
      </w:r>
    </w:p>
    <w:p w14:paraId="5D69B7B3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1.150号文关于规范退出融资平台公司的标准与流程；</w:t>
      </w:r>
    </w:p>
    <w:p w14:paraId="3BB92B34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2.投融资平台公司整合升级的现实要求和各地政策要点；</w:t>
      </w:r>
    </w:p>
    <w:p w14:paraId="49BB2B87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3.投融资平台公司转型的五个主要模式和路径分析；</w:t>
      </w:r>
    </w:p>
    <w:p w14:paraId="2C81B861">
      <w:pPr>
        <w:spacing w:line="536" w:lineRule="exact"/>
        <w:ind w:left="420" w:left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4.投融资平台公司转型的六大重构工程：顶层设计重构、资源资产重</w:t>
      </w:r>
    </w:p>
    <w:p w14:paraId="078B2F05">
      <w:pPr>
        <w:spacing w:line="536" w:lineRule="exac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构、业务模式重构、投融资重构、公司治理重构、风控合规重构；</w:t>
      </w:r>
    </w:p>
    <w:p w14:paraId="019774C3">
      <w:pPr>
        <w:spacing w:line="536" w:lineRule="exact"/>
        <w:ind w:left="420" w:leftChars="200"/>
        <w:rPr>
          <w:rFonts w:hint="eastAsia" w:ascii="仿宋" w:hAnsi="仿宋" w:eastAsia="仿宋" w:cs="仿宋"/>
          <w:spacing w:val="8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5.投融资平台公司转型发展和产业投资的案例分析。</w:t>
      </w:r>
    </w:p>
    <w:p w14:paraId="2A671B2F">
      <w:pPr>
        <w:spacing w:line="536" w:lineRule="exact"/>
        <w:ind w:firstLine="562" w:firstLineChars="2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</w:t>
      </w: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、培训对象</w:t>
      </w:r>
    </w:p>
    <w:p w14:paraId="508A9259">
      <w:pPr>
        <w:spacing w:line="536" w:lineRule="exact"/>
        <w:ind w:firstLine="560" w:firstLineChars="200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各级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政府发展改革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、财政、环保、住建、交通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运输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、水利、农业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农村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、林草、文旅等部门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有关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人员；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以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城投公司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为代表的地方国有企业有关人员；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污水垃圾处理、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城乡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供水供气供热、仓储物流、新能源、环保及建筑施工等企业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有关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人员；银行、证券、基金、信托、保险等金融机构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有关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人员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等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 w14:paraId="6F1D2F1E">
      <w:pPr>
        <w:spacing w:line="536" w:lineRule="exact"/>
        <w:ind w:firstLine="562" w:firstLineChars="2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</w:t>
      </w: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拟邀师资</w:t>
      </w:r>
    </w:p>
    <w:p w14:paraId="4DA57EB2">
      <w:pPr>
        <w:spacing w:line="536" w:lineRule="exact"/>
        <w:ind w:firstLine="562" w:firstLineChars="2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林晓东：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中国经济体制改革研究会理事、特聘授课专家，中国投资协会项目投融资专委会特聘专家，泰和泰（北京）律师事务所合伙人。</w:t>
      </w:r>
    </w:p>
    <w:p w14:paraId="60FA429C">
      <w:pPr>
        <w:widowControl/>
        <w:spacing w:line="536" w:lineRule="exact"/>
        <w:ind w:firstLine="562" w:firstLineChars="200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王小文：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住建部海绵城市试点考核专家，财政部PPP示范项目评审专家，中国投资咨询有限责任公司研究中心主任。</w:t>
      </w:r>
    </w:p>
    <w:p w14:paraId="7BDA539A">
      <w:pPr>
        <w:pStyle w:val="7"/>
        <w:autoSpaceDE/>
        <w:autoSpaceDN/>
        <w:spacing w:line="536" w:lineRule="exact"/>
        <w:ind w:left="0" w:firstLine="562"/>
        <w:rPr>
          <w:rFonts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Ansi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温来成：</w:t>
      </w:r>
      <w:r>
        <w:fldChar w:fldCharType="begin"/>
      </w:r>
      <w:r>
        <w:instrText xml:space="preserve"> HYPERLINK "https://baike.so.com/doc/3296910-3472858.html" \t "https://baike.so.com/doc/_blank" </w:instrText>
      </w:r>
      <w:r>
        <w:fldChar w:fldCharType="separate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中国人民大学</w:t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经济学博士，</w:t>
      </w:r>
      <w:r>
        <w:fldChar w:fldCharType="begin"/>
      </w:r>
      <w:r>
        <w:instrText xml:space="preserve"> HYPERLINK "https://baike.so.com/doc/871579-921482.html" \t "https://baike.so.com/doc/_blank" </w:instrText>
      </w:r>
      <w:r>
        <w:fldChar w:fldCharType="separate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中央财经大学</w:t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教授，博士生导师，</w:t>
      </w:r>
      <w:r>
        <w:fldChar w:fldCharType="begin"/>
      </w:r>
      <w:r>
        <w:instrText xml:space="preserve"> HYPERLINK "https://baike.so.com/doc/5383824-5620225.html" \t "https://baike.so.com/doc/_blank" </w:instrText>
      </w:r>
      <w:r>
        <w:fldChar w:fldCharType="separate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国家社会科学基金</w:t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评审专家，</w:t>
      </w:r>
      <w:r>
        <w:fldChar w:fldCharType="begin"/>
      </w:r>
      <w:r>
        <w:instrText xml:space="preserve"> HYPERLINK "https://baike.so.com/doc/5568745-5783922.html" \t "https://baike.so.com/doc/_blank" </w:instrText>
      </w:r>
      <w:r>
        <w:fldChar w:fldCharType="separate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国家自然科学基金</w:t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评审专家</w:t>
      </w:r>
      <w:r>
        <w:rPr>
          <w:rFonts w:hAnsi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 w14:paraId="01C64198">
      <w:pPr>
        <w:spacing w:line="536" w:lineRule="exact"/>
        <w:ind w:firstLine="562" w:firstLineChars="200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张  鹏：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财政部政策实验室宏观经济部主任、经济学博士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中共中央党校干部学习网特约专家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 w14:paraId="2DCF276E">
      <w:pPr>
        <w:spacing w:line="536" w:lineRule="exact"/>
        <w:ind w:firstLine="562" w:firstLineChars="200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朱  静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：中央财经大学PPP智库专家，中国政信（政务）研究中心专家，中能国和产业投资发展集团合伙人首席专家。</w:t>
      </w:r>
    </w:p>
    <w:p w14:paraId="7F287E2D">
      <w:pPr>
        <w:spacing w:line="536" w:lineRule="exact"/>
        <w:ind w:firstLine="562" w:firstLineChars="2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四、</w:t>
      </w: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培训时间与地点</w:t>
      </w:r>
    </w:p>
    <w:p w14:paraId="4F7D85AC">
      <w:pPr>
        <w:spacing w:line="536" w:lineRule="exact"/>
        <w:ind w:firstLine="840" w:firstLineChars="30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2026年06月11日—06月14日   重庆市 （11日全天报到）</w:t>
      </w:r>
    </w:p>
    <w:p w14:paraId="1D7E051B">
      <w:pPr>
        <w:spacing w:line="536" w:lineRule="exact"/>
        <w:ind w:firstLine="840" w:firstLineChars="30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2026年06月25日—06月28日   青岛市 （25日全天报到）</w:t>
      </w:r>
    </w:p>
    <w:p w14:paraId="0696ACB0">
      <w:pPr>
        <w:spacing w:line="536" w:lineRule="exact"/>
        <w:ind w:firstLine="840" w:firstLineChars="30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2026年07月09日—07月12日   苏州市 （09日全天报到）</w:t>
      </w:r>
    </w:p>
    <w:p w14:paraId="5D6B812D">
      <w:pPr>
        <w:spacing w:line="536" w:lineRule="exact"/>
        <w:ind w:firstLine="840" w:firstLineChars="30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2026年07月23日—07月26日   合肥市 （23日全天报到）</w:t>
      </w:r>
    </w:p>
    <w:p w14:paraId="00477FC1">
      <w:pPr>
        <w:spacing w:line="536" w:lineRule="exact"/>
        <w:ind w:firstLine="840" w:firstLineChars="30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2026年08月06日—08月09日   西安市 （06日全天报到）</w:t>
      </w:r>
    </w:p>
    <w:p w14:paraId="51FCD1E0">
      <w:pPr>
        <w:spacing w:line="536" w:lineRule="exact"/>
        <w:ind w:firstLine="840" w:firstLineChars="30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2026年08月20日—08月23日   贵阳市 （20日全天报到）</w:t>
      </w:r>
    </w:p>
    <w:p w14:paraId="6B0C5225">
      <w:pPr>
        <w:spacing w:line="536" w:lineRule="exact"/>
        <w:ind w:firstLine="840" w:firstLineChars="30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2026年09月03日—09月06日   成都市 （03日全天报到）</w:t>
      </w:r>
    </w:p>
    <w:p w14:paraId="52B84083">
      <w:pPr>
        <w:spacing w:line="536" w:lineRule="exact"/>
        <w:ind w:firstLine="840" w:firstLineChars="30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2026年09月10日—09月13日   南昌市 （10日全天报到）</w:t>
      </w:r>
    </w:p>
    <w:p w14:paraId="018FD12A">
      <w:pPr>
        <w:spacing w:line="536" w:lineRule="exact"/>
        <w:ind w:firstLine="840" w:firstLineChars="3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2026年09月17日—09月20日   长沙市 （17日全天报到）</w:t>
      </w:r>
    </w:p>
    <w:p w14:paraId="0557D722">
      <w:pPr>
        <w:spacing w:line="536" w:lineRule="exact"/>
        <w:ind w:firstLine="562" w:firstLineChars="200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五</w:t>
      </w: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、收费标准</w:t>
      </w:r>
    </w:p>
    <w:p w14:paraId="15E4E08A">
      <w:pPr>
        <w:spacing w:line="536" w:lineRule="exact"/>
        <w:ind w:firstLine="560" w:firstLineChars="200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A.3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98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0元/人（含培训、资料、电子课件、场地及培训期间午餐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、结业证书等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），住宿统一安排，费用自理。</w:t>
      </w:r>
    </w:p>
    <w:p w14:paraId="0886BB0D">
      <w:pPr>
        <w:spacing w:line="536" w:lineRule="exact"/>
        <w:ind w:firstLine="560" w:firstLineChars="200"/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B.5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98</w:t>
      </w:r>
      <w:r>
        <w:rPr>
          <w:rFonts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0元/人（含培训、资料、电子课件、场地、证书及培训期间午餐），住宿统一安排，费用自理。培训结束后，经考核合格，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由中小企业合作发展促进中心颁发《投融资规划师》证书，报名需提供申报表、二寸蓝底免冠彩色照片、身份证复印件、学历证书复印件等电子版材料。</w:t>
      </w:r>
    </w:p>
    <w:p w14:paraId="33C29CAC">
      <w:pPr>
        <w:snapToGrid w:val="0"/>
        <w:spacing w:line="536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C.28000元/单位，同步直播，单位投屏播放，统一观看，不限人数，提供电子课件，支持在线提问。</w:t>
      </w:r>
    </w:p>
    <w:p w14:paraId="4C01524C">
      <w:pPr>
        <w:snapToGrid w:val="0"/>
        <w:spacing w:line="50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 w14:paraId="69BF1B87">
      <w:pPr>
        <w:spacing w:line="500" w:lineRule="exact"/>
        <w:ind w:firstLine="840" w:firstLineChars="3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附件：报名回执表</w:t>
      </w:r>
    </w:p>
    <w:p w14:paraId="638FF5CA">
      <w:pPr>
        <w:spacing w:line="50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276860</wp:posOffset>
            </wp:positionV>
            <wp:extent cx="1897380" cy="1760855"/>
            <wp:effectExtent l="0" t="0" r="7620" b="10795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D527DE">
      <w:pPr>
        <w:spacing w:line="50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268605</wp:posOffset>
            </wp:positionV>
            <wp:extent cx="1447800" cy="14478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672F31">
      <w:pPr>
        <w:spacing w:line="500" w:lineRule="exac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18A1F7A">
      <w:pPr>
        <w:ind w:firstLine="504" w:firstLineChars="200"/>
        <w:rPr>
          <w:rFonts w:hint="default" w:ascii="仿宋" w:hAnsi="仿宋" w:eastAsia="仿宋" w:cs="仿宋"/>
          <w:b/>
          <w:bCs/>
          <w:color w:val="000000" w:themeColor="text1"/>
          <w:w w:val="90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w w:val="90"/>
          <w:sz w:val="28"/>
          <w:szCs w:val="24"/>
          <w14:textFill>
            <w14:solidFill>
              <w14:schemeClr w14:val="tx1"/>
            </w14:solidFill>
          </w14:textFill>
        </w:rPr>
        <w:t xml:space="preserve">新质生产力发展促进中心       </w:t>
      </w:r>
      <w:r>
        <w:rPr>
          <w:rFonts w:hint="eastAsia" w:ascii="仿宋" w:hAnsi="仿宋" w:eastAsia="仿宋" w:cs="仿宋"/>
          <w:b/>
          <w:bCs/>
          <w:color w:val="000000" w:themeColor="text1"/>
          <w:w w:val="90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国企联培企业管理（北京）中心</w:t>
      </w:r>
    </w:p>
    <w:p w14:paraId="1AE65966">
      <w:pPr>
        <w:spacing w:line="500" w:lineRule="exact"/>
        <w:ind w:firstLine="843" w:firstLineChars="3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2026年4月29日              2026年4月29日</w:t>
      </w:r>
    </w:p>
    <w:p w14:paraId="12005BE0">
      <w:pPr>
        <w:widowControl/>
        <w:jc w:val="left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 w14:paraId="32D14E3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附件：</w:t>
      </w:r>
    </w:p>
    <w:p w14:paraId="22B30D92">
      <w:pPr>
        <w:spacing w:line="480" w:lineRule="exact"/>
        <w:ind w:right="-147" w:rightChars="-70"/>
        <w:jc w:val="center"/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“破解财政困局、盘活存量、畅通融资渠道</w:t>
      </w:r>
    </w:p>
    <w:p w14:paraId="4A1C4F3D">
      <w:pPr>
        <w:spacing w:line="480" w:lineRule="exact"/>
        <w:ind w:right="-147" w:rightChars="-70"/>
        <w:jc w:val="center"/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暨2026年项目谋划、资金申报、城市更新、国企市场化转型实操高级研修班”报名回执表</w:t>
      </w:r>
    </w:p>
    <w:tbl>
      <w:tblPr>
        <w:tblStyle w:val="8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 w14:paraId="7764A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B18AFA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4099" w:type="dxa"/>
            <w:gridSpan w:val="3"/>
            <w:vAlign w:val="center"/>
          </w:tcPr>
          <w:p w14:paraId="3D17610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44F113D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编</w:t>
            </w:r>
          </w:p>
        </w:tc>
        <w:tc>
          <w:tcPr>
            <w:tcW w:w="2164" w:type="dxa"/>
            <w:vAlign w:val="center"/>
          </w:tcPr>
          <w:p w14:paraId="6F930CF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8C4D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C031DC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单位地址</w:t>
            </w:r>
          </w:p>
        </w:tc>
        <w:tc>
          <w:tcPr>
            <w:tcW w:w="8159" w:type="dxa"/>
            <w:gridSpan w:val="5"/>
            <w:vAlign w:val="center"/>
          </w:tcPr>
          <w:p w14:paraId="4E99AE6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B609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1F7870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 系 人</w:t>
            </w:r>
          </w:p>
        </w:tc>
        <w:tc>
          <w:tcPr>
            <w:tcW w:w="2147" w:type="dxa"/>
            <w:gridSpan w:val="2"/>
            <w:vAlign w:val="center"/>
          </w:tcPr>
          <w:p w14:paraId="0003F29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27E0C3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  务</w:t>
            </w:r>
          </w:p>
        </w:tc>
        <w:tc>
          <w:tcPr>
            <w:tcW w:w="4060" w:type="dxa"/>
            <w:gridSpan w:val="2"/>
            <w:vAlign w:val="center"/>
          </w:tcPr>
          <w:p w14:paraId="28A70B1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0C26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30A9BC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  机</w:t>
            </w:r>
          </w:p>
        </w:tc>
        <w:tc>
          <w:tcPr>
            <w:tcW w:w="2147" w:type="dxa"/>
            <w:gridSpan w:val="2"/>
            <w:vAlign w:val="center"/>
          </w:tcPr>
          <w:p w14:paraId="3905E41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20B0AB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4060" w:type="dxa"/>
            <w:gridSpan w:val="2"/>
            <w:vAlign w:val="center"/>
          </w:tcPr>
          <w:p w14:paraId="6CA63EC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E3B6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D2170C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传    真</w:t>
            </w:r>
          </w:p>
        </w:tc>
        <w:tc>
          <w:tcPr>
            <w:tcW w:w="2147" w:type="dxa"/>
            <w:gridSpan w:val="2"/>
            <w:vAlign w:val="center"/>
          </w:tcPr>
          <w:p w14:paraId="06EFBA3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5C78DA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4060" w:type="dxa"/>
            <w:gridSpan w:val="2"/>
            <w:vAlign w:val="center"/>
          </w:tcPr>
          <w:p w14:paraId="4391DF9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4C0F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7BFD07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参训人员</w:t>
            </w:r>
          </w:p>
        </w:tc>
        <w:tc>
          <w:tcPr>
            <w:tcW w:w="854" w:type="dxa"/>
            <w:vAlign w:val="center"/>
          </w:tcPr>
          <w:p w14:paraId="74AD1E6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93" w:type="dxa"/>
            <w:vAlign w:val="center"/>
          </w:tcPr>
          <w:p w14:paraId="30741F9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952" w:type="dxa"/>
            <w:vAlign w:val="center"/>
          </w:tcPr>
          <w:p w14:paraId="71ED03D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    话</w:t>
            </w:r>
          </w:p>
        </w:tc>
        <w:tc>
          <w:tcPr>
            <w:tcW w:w="1896" w:type="dxa"/>
            <w:vAlign w:val="center"/>
          </w:tcPr>
          <w:p w14:paraId="2CB8AE4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2164" w:type="dxa"/>
            <w:vAlign w:val="center"/>
          </w:tcPr>
          <w:p w14:paraId="4403117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 箱</w:t>
            </w:r>
          </w:p>
        </w:tc>
      </w:tr>
      <w:tr w14:paraId="32F448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ACE102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0E4F8BA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1CAC6DF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E0270D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5EAFF47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1F419B6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8F47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0823DF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7F9109F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7A3860F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5FED80F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357A0A8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25F1D13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8552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5FF336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0A65208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649E013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CA22FF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1517EAE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519B92A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A7A1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6DAB3E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1F342FB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3017129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0030EA8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6FA2BF7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51984AC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8EDD1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95F0D6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6E923A7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7AD94EA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7DAB46B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2EC3CF0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28EA8B4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26E0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6928EA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参训时间</w:t>
            </w:r>
          </w:p>
        </w:tc>
        <w:tc>
          <w:tcPr>
            <w:tcW w:w="2147" w:type="dxa"/>
            <w:gridSpan w:val="2"/>
            <w:vAlign w:val="center"/>
          </w:tcPr>
          <w:p w14:paraId="1F767EB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FE8369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参训地点</w:t>
            </w:r>
          </w:p>
        </w:tc>
        <w:tc>
          <w:tcPr>
            <w:tcW w:w="4060" w:type="dxa"/>
            <w:gridSpan w:val="2"/>
            <w:vAlign w:val="center"/>
          </w:tcPr>
          <w:p w14:paraId="2A82AE8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342FC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30C3B9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住宿要求</w:t>
            </w:r>
          </w:p>
        </w:tc>
        <w:tc>
          <w:tcPr>
            <w:tcW w:w="8159" w:type="dxa"/>
            <w:gridSpan w:val="5"/>
            <w:vAlign w:val="center"/>
          </w:tcPr>
          <w:p w14:paraId="0755D7C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单住□      合住□     自理□</w:t>
            </w:r>
          </w:p>
        </w:tc>
      </w:tr>
      <w:tr w14:paraId="5D3440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BD04A5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证书申报</w:t>
            </w:r>
          </w:p>
        </w:tc>
        <w:tc>
          <w:tcPr>
            <w:tcW w:w="8159" w:type="dxa"/>
            <w:gridSpan w:val="5"/>
            <w:vAlign w:val="center"/>
          </w:tcPr>
          <w:p w14:paraId="40C1931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证书□</w:t>
            </w:r>
          </w:p>
        </w:tc>
      </w:tr>
      <w:tr w14:paraId="3B8F64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88EFD5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付款方式</w:t>
            </w:r>
          </w:p>
        </w:tc>
        <w:tc>
          <w:tcPr>
            <w:tcW w:w="4099" w:type="dxa"/>
            <w:gridSpan w:val="3"/>
            <w:vAlign w:val="center"/>
          </w:tcPr>
          <w:p w14:paraId="609A3AF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银行转账□      现场交费□</w:t>
            </w:r>
          </w:p>
        </w:tc>
        <w:tc>
          <w:tcPr>
            <w:tcW w:w="1896" w:type="dxa"/>
            <w:vAlign w:val="center"/>
          </w:tcPr>
          <w:p w14:paraId="17D4E45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金 额</w:t>
            </w:r>
          </w:p>
        </w:tc>
        <w:tc>
          <w:tcPr>
            <w:tcW w:w="2164" w:type="dxa"/>
          </w:tcPr>
          <w:p w14:paraId="5D48591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66BF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5" w:hRule="atLeast"/>
        </w:trPr>
        <w:tc>
          <w:tcPr>
            <w:tcW w:w="1678" w:type="dxa"/>
            <w:vAlign w:val="center"/>
          </w:tcPr>
          <w:p w14:paraId="071EFB0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4A91718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收款信息</w:t>
            </w:r>
          </w:p>
        </w:tc>
        <w:tc>
          <w:tcPr>
            <w:tcW w:w="8159" w:type="dxa"/>
            <w:gridSpan w:val="5"/>
            <w:vAlign w:val="center"/>
          </w:tcPr>
          <w:p w14:paraId="48BDC334">
            <w:pPr>
              <w:tabs>
                <w:tab w:val="left" w:pos="567"/>
                <w:tab w:val="left" w:pos="709"/>
              </w:tabs>
              <w:spacing w:line="360" w:lineRule="auto"/>
              <w:jc w:val="left"/>
              <w:textAlignment w:val="baseline"/>
              <w:outlineLvl w:val="0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国企联培企业管理（北京）中心</w:t>
            </w:r>
          </w:p>
          <w:p w14:paraId="32F67656">
            <w:pPr>
              <w:tabs>
                <w:tab w:val="left" w:pos="567"/>
                <w:tab w:val="left" w:pos="709"/>
              </w:tabs>
              <w:spacing w:line="360" w:lineRule="auto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开 户 行：中国工商银行北京万寿路南口支行</w:t>
            </w:r>
          </w:p>
          <w:p w14:paraId="34268FEB">
            <w:pPr>
              <w:tabs>
                <w:tab w:val="left" w:pos="567"/>
                <w:tab w:val="left" w:pos="709"/>
              </w:tabs>
              <w:spacing w:line="360" w:lineRule="auto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账    号：0200096409000026879</w:t>
            </w:r>
          </w:p>
        </w:tc>
      </w:tr>
      <w:tr w14:paraId="58C58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8" w:hRule="atLeast"/>
        </w:trPr>
        <w:tc>
          <w:tcPr>
            <w:tcW w:w="1678" w:type="dxa"/>
            <w:vAlign w:val="center"/>
          </w:tcPr>
          <w:p w14:paraId="37522FA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备    注</w:t>
            </w:r>
          </w:p>
        </w:tc>
        <w:tc>
          <w:tcPr>
            <w:tcW w:w="4099" w:type="dxa"/>
            <w:gridSpan w:val="3"/>
            <w:vAlign w:val="center"/>
          </w:tcPr>
          <w:p w14:paraId="66FAFCC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本课程可根据单位实际需</w:t>
            </w:r>
          </w:p>
          <w:p w14:paraId="45C103D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求，提供内部培训。</w:t>
            </w:r>
          </w:p>
        </w:tc>
        <w:tc>
          <w:tcPr>
            <w:tcW w:w="4060" w:type="dxa"/>
            <w:gridSpan w:val="2"/>
            <w:vAlign w:val="center"/>
          </w:tcPr>
          <w:p w14:paraId="18BE0264"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4C6E664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参加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 w14:paraId="4256BB96">
            <w:pPr>
              <w:pStyle w:val="7"/>
              <w:ind w:left="480" w:firstLine="480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146744C2">
            <w:pPr>
              <w:tabs>
                <w:tab w:val="left" w:pos="567"/>
                <w:tab w:val="left" w:pos="709"/>
              </w:tabs>
              <w:spacing w:line="300" w:lineRule="exact"/>
              <w:ind w:firstLine="2240" w:firstLineChars="8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</w:tbl>
    <w:p w14:paraId="50F7DB09">
      <w:pPr>
        <w:spacing w:line="440" w:lineRule="exact"/>
        <w:ind w:right="-147" w:rightChars="-70"/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联系人：</w:t>
      </w: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李旭</w:t>
      </w: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</w:t>
      </w: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电</w:t>
      </w: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</w:t>
      </w: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话：1</w:t>
      </w: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3671212151</w:t>
      </w: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（同微信）</w:t>
      </w: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 </w:t>
      </w: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010-</w:t>
      </w: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82472805</w:t>
      </w: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    </w:t>
      </w:r>
    </w:p>
    <w:p w14:paraId="2284E81D">
      <w:pPr>
        <w:spacing w:line="440" w:lineRule="exact"/>
        <w:ind w:right="-147" w:rightChars="-70"/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邮</w:t>
      </w: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</w:t>
      </w: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箱：</w:t>
      </w: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fldChar w:fldCharType="begin"/>
      </w: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instrText xml:space="preserve"> HYPERLINK "mailto:297545800@qq.com" </w:instrText>
      </w: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1007944993</w:t>
      </w: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@qq.com</w:t>
      </w:r>
      <w:r>
        <w:rPr>
          <w:rStyle w:val="10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fldChar w:fldCharType="end"/>
      </w:r>
      <w:bookmarkStart w:id="0" w:name="_GoBack"/>
      <w:bookmarkEnd w:id="0"/>
    </w:p>
    <w:sectPr>
      <w:pgSz w:w="11906" w:h="16838"/>
      <w:pgMar w:top="1440" w:right="1519" w:bottom="144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C26B25A-21C7-4148-87C0-4A58E3AC540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93CE4B2-1B72-48F2-83FB-B6CEE11EC03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4E184B9-1522-4142-B573-266B058F4C0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B0EC8DC-A3A3-43D0-AA83-71FA955421F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DF67D9C-82B5-4B65-957C-C705AD727B7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BB10F84-04A8-4075-BEA0-851C7EBBB36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D5A8C7B4-DC9B-464D-854C-07B868679145}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  <w:embedRegular r:id="rId8" w:fontKey="{B64EB5B6-A772-4273-B2A8-2AD4D57CA5C7}"/>
  </w:font>
  <w:font w:name="方正公文小标宋">
    <w:altName w:val="宋体"/>
    <w:panose1 w:val="00000000000000000000"/>
    <w:charset w:val="86"/>
    <w:family w:val="auto"/>
    <w:pitch w:val="default"/>
    <w:sig w:usb0="00000000" w:usb1="00000000" w:usb2="00000016" w:usb3="00000000" w:csb0="00040001" w:csb1="00000000"/>
    <w:embedRegular r:id="rId9" w:fontKey="{06D04B66-96C2-40C0-AA74-3E2C6F81D7F2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3BCBC320-3C1A-453A-A683-5D19BEC8AAE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408D1E"/>
    <w:multiLevelType w:val="singleLevel"/>
    <w:tmpl w:val="9D408D1E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gzNDM4Y2FiYTQ0ZDExNjg0MjEzZDViYjkxMTI4NDIifQ=="/>
  </w:docVars>
  <w:rsids>
    <w:rsidRoot w:val="00D51FAA"/>
    <w:rsid w:val="00000508"/>
    <w:rsid w:val="00037700"/>
    <w:rsid w:val="00060C6A"/>
    <w:rsid w:val="00084460"/>
    <w:rsid w:val="000A17E5"/>
    <w:rsid w:val="000A4852"/>
    <w:rsid w:val="000A5A9D"/>
    <w:rsid w:val="000D6B55"/>
    <w:rsid w:val="000E1574"/>
    <w:rsid w:val="000E204B"/>
    <w:rsid w:val="001234DF"/>
    <w:rsid w:val="001815E2"/>
    <w:rsid w:val="001A64D3"/>
    <w:rsid w:val="001B7E39"/>
    <w:rsid w:val="001E6722"/>
    <w:rsid w:val="002202BE"/>
    <w:rsid w:val="00231F16"/>
    <w:rsid w:val="0025634D"/>
    <w:rsid w:val="00263FBD"/>
    <w:rsid w:val="00265282"/>
    <w:rsid w:val="00266CDF"/>
    <w:rsid w:val="00272A46"/>
    <w:rsid w:val="002749C9"/>
    <w:rsid w:val="0027718C"/>
    <w:rsid w:val="002842F3"/>
    <w:rsid w:val="00292E6A"/>
    <w:rsid w:val="002D0407"/>
    <w:rsid w:val="002D3499"/>
    <w:rsid w:val="003144E6"/>
    <w:rsid w:val="00327A7D"/>
    <w:rsid w:val="00342E6E"/>
    <w:rsid w:val="0038106F"/>
    <w:rsid w:val="003C409A"/>
    <w:rsid w:val="003F099E"/>
    <w:rsid w:val="00406D20"/>
    <w:rsid w:val="00412275"/>
    <w:rsid w:val="0042621A"/>
    <w:rsid w:val="00432205"/>
    <w:rsid w:val="0044681F"/>
    <w:rsid w:val="00447DB3"/>
    <w:rsid w:val="00455750"/>
    <w:rsid w:val="00464B66"/>
    <w:rsid w:val="00476D6E"/>
    <w:rsid w:val="00480F5F"/>
    <w:rsid w:val="00484633"/>
    <w:rsid w:val="004A6EFA"/>
    <w:rsid w:val="004C036A"/>
    <w:rsid w:val="004F014E"/>
    <w:rsid w:val="00545C93"/>
    <w:rsid w:val="00594AD1"/>
    <w:rsid w:val="005A569B"/>
    <w:rsid w:val="005C4CD4"/>
    <w:rsid w:val="005C56FC"/>
    <w:rsid w:val="005D185D"/>
    <w:rsid w:val="005D781B"/>
    <w:rsid w:val="005F0B6F"/>
    <w:rsid w:val="00613706"/>
    <w:rsid w:val="00615433"/>
    <w:rsid w:val="00624B79"/>
    <w:rsid w:val="00650467"/>
    <w:rsid w:val="00650EEF"/>
    <w:rsid w:val="006557C2"/>
    <w:rsid w:val="006672EF"/>
    <w:rsid w:val="00671A31"/>
    <w:rsid w:val="0067446E"/>
    <w:rsid w:val="00682707"/>
    <w:rsid w:val="006836BA"/>
    <w:rsid w:val="00687C2D"/>
    <w:rsid w:val="00693CB1"/>
    <w:rsid w:val="006A2ADA"/>
    <w:rsid w:val="006C5089"/>
    <w:rsid w:val="006C6CA9"/>
    <w:rsid w:val="006D402B"/>
    <w:rsid w:val="007055F1"/>
    <w:rsid w:val="0070729C"/>
    <w:rsid w:val="0074601B"/>
    <w:rsid w:val="007554FC"/>
    <w:rsid w:val="00770C10"/>
    <w:rsid w:val="00772C12"/>
    <w:rsid w:val="007977E4"/>
    <w:rsid w:val="007D1096"/>
    <w:rsid w:val="008033D8"/>
    <w:rsid w:val="0082209D"/>
    <w:rsid w:val="00830220"/>
    <w:rsid w:val="00832F5A"/>
    <w:rsid w:val="008404E0"/>
    <w:rsid w:val="008753AE"/>
    <w:rsid w:val="00886602"/>
    <w:rsid w:val="008F516C"/>
    <w:rsid w:val="00914EBA"/>
    <w:rsid w:val="00947FFC"/>
    <w:rsid w:val="00966889"/>
    <w:rsid w:val="009B20C6"/>
    <w:rsid w:val="009C15B0"/>
    <w:rsid w:val="009C49B0"/>
    <w:rsid w:val="009C4CB6"/>
    <w:rsid w:val="009F5606"/>
    <w:rsid w:val="00A244AC"/>
    <w:rsid w:val="00A25569"/>
    <w:rsid w:val="00B043F8"/>
    <w:rsid w:val="00B05DFF"/>
    <w:rsid w:val="00B55E7C"/>
    <w:rsid w:val="00BB2B72"/>
    <w:rsid w:val="00BC3588"/>
    <w:rsid w:val="00C26406"/>
    <w:rsid w:val="00C37349"/>
    <w:rsid w:val="00C54CDA"/>
    <w:rsid w:val="00C64E76"/>
    <w:rsid w:val="00C918E2"/>
    <w:rsid w:val="00C94641"/>
    <w:rsid w:val="00CB3A61"/>
    <w:rsid w:val="00CC6EA9"/>
    <w:rsid w:val="00CC72ED"/>
    <w:rsid w:val="00CE06C5"/>
    <w:rsid w:val="00D14AE9"/>
    <w:rsid w:val="00D21338"/>
    <w:rsid w:val="00D51FAA"/>
    <w:rsid w:val="00D613DB"/>
    <w:rsid w:val="00D948A5"/>
    <w:rsid w:val="00DA6AE7"/>
    <w:rsid w:val="00DC72ED"/>
    <w:rsid w:val="00DF08E3"/>
    <w:rsid w:val="00E319C5"/>
    <w:rsid w:val="00E53EF0"/>
    <w:rsid w:val="00E826A8"/>
    <w:rsid w:val="00E86FBD"/>
    <w:rsid w:val="00E90724"/>
    <w:rsid w:val="00E922E5"/>
    <w:rsid w:val="00EC12C0"/>
    <w:rsid w:val="00EE50FD"/>
    <w:rsid w:val="00F674BD"/>
    <w:rsid w:val="00F707DD"/>
    <w:rsid w:val="00F814AB"/>
    <w:rsid w:val="00F828B6"/>
    <w:rsid w:val="00FA1C1A"/>
    <w:rsid w:val="00FA1D2A"/>
    <w:rsid w:val="00FA338C"/>
    <w:rsid w:val="00FB33B5"/>
    <w:rsid w:val="00FB5E44"/>
    <w:rsid w:val="01EF20C6"/>
    <w:rsid w:val="02C866AB"/>
    <w:rsid w:val="02DF39F5"/>
    <w:rsid w:val="033B50CF"/>
    <w:rsid w:val="034B42C3"/>
    <w:rsid w:val="034C3C31"/>
    <w:rsid w:val="04812FB5"/>
    <w:rsid w:val="0490144A"/>
    <w:rsid w:val="06252E77"/>
    <w:rsid w:val="06D7510F"/>
    <w:rsid w:val="07034156"/>
    <w:rsid w:val="07302A71"/>
    <w:rsid w:val="07852DBD"/>
    <w:rsid w:val="07943000"/>
    <w:rsid w:val="09D73678"/>
    <w:rsid w:val="0A1D552E"/>
    <w:rsid w:val="0A3E36F7"/>
    <w:rsid w:val="0A967156"/>
    <w:rsid w:val="0AD007F3"/>
    <w:rsid w:val="0B106E41"/>
    <w:rsid w:val="0BC1638D"/>
    <w:rsid w:val="0BCB0FBA"/>
    <w:rsid w:val="0BFC73C5"/>
    <w:rsid w:val="0C1C1816"/>
    <w:rsid w:val="0C2B1A59"/>
    <w:rsid w:val="0CA5180B"/>
    <w:rsid w:val="0D0E5602"/>
    <w:rsid w:val="0D441024"/>
    <w:rsid w:val="0D815DD4"/>
    <w:rsid w:val="0DB241E0"/>
    <w:rsid w:val="0DD156DA"/>
    <w:rsid w:val="0DF2116D"/>
    <w:rsid w:val="0E3C32D3"/>
    <w:rsid w:val="0F362BEE"/>
    <w:rsid w:val="0F4B5D64"/>
    <w:rsid w:val="0F7756E1"/>
    <w:rsid w:val="0F783207"/>
    <w:rsid w:val="10725EA8"/>
    <w:rsid w:val="108160EB"/>
    <w:rsid w:val="111B02EE"/>
    <w:rsid w:val="11673533"/>
    <w:rsid w:val="13DD7ADC"/>
    <w:rsid w:val="144813FA"/>
    <w:rsid w:val="14942891"/>
    <w:rsid w:val="14AD738E"/>
    <w:rsid w:val="15015A4D"/>
    <w:rsid w:val="15773C83"/>
    <w:rsid w:val="15DF7B3C"/>
    <w:rsid w:val="161750A6"/>
    <w:rsid w:val="164125A5"/>
    <w:rsid w:val="1686445B"/>
    <w:rsid w:val="169E79F7"/>
    <w:rsid w:val="16E4489F"/>
    <w:rsid w:val="17936E30"/>
    <w:rsid w:val="18041ADC"/>
    <w:rsid w:val="18100480"/>
    <w:rsid w:val="189F1804"/>
    <w:rsid w:val="18F97167"/>
    <w:rsid w:val="190D3CAF"/>
    <w:rsid w:val="194A79C2"/>
    <w:rsid w:val="19B65058"/>
    <w:rsid w:val="1A0933D9"/>
    <w:rsid w:val="1A27306A"/>
    <w:rsid w:val="1AA11864"/>
    <w:rsid w:val="1B23671D"/>
    <w:rsid w:val="1BE8270C"/>
    <w:rsid w:val="1C2564C4"/>
    <w:rsid w:val="1D1C1676"/>
    <w:rsid w:val="1D94437F"/>
    <w:rsid w:val="1EA638ED"/>
    <w:rsid w:val="1F0C571A"/>
    <w:rsid w:val="1F7D3C3E"/>
    <w:rsid w:val="200A7EAB"/>
    <w:rsid w:val="201E5705"/>
    <w:rsid w:val="20996A84"/>
    <w:rsid w:val="20E406FC"/>
    <w:rsid w:val="21470C8B"/>
    <w:rsid w:val="21507B40"/>
    <w:rsid w:val="21584C46"/>
    <w:rsid w:val="21EB7868"/>
    <w:rsid w:val="22162B37"/>
    <w:rsid w:val="225418B2"/>
    <w:rsid w:val="22C5630B"/>
    <w:rsid w:val="22DB5B2F"/>
    <w:rsid w:val="23A83C63"/>
    <w:rsid w:val="23B56380"/>
    <w:rsid w:val="24172B97"/>
    <w:rsid w:val="24206BFA"/>
    <w:rsid w:val="243E6375"/>
    <w:rsid w:val="24457704"/>
    <w:rsid w:val="25453733"/>
    <w:rsid w:val="25916E66"/>
    <w:rsid w:val="26D134D1"/>
    <w:rsid w:val="27322CEB"/>
    <w:rsid w:val="27A97FAA"/>
    <w:rsid w:val="27FA3FBF"/>
    <w:rsid w:val="28347296"/>
    <w:rsid w:val="285F4B0C"/>
    <w:rsid w:val="286345FC"/>
    <w:rsid w:val="28F8538E"/>
    <w:rsid w:val="290C6A42"/>
    <w:rsid w:val="29114058"/>
    <w:rsid w:val="291458F7"/>
    <w:rsid w:val="294F2DD3"/>
    <w:rsid w:val="29CB06AB"/>
    <w:rsid w:val="29EE2863"/>
    <w:rsid w:val="2A3F4BF5"/>
    <w:rsid w:val="2B7C67AE"/>
    <w:rsid w:val="2B856FA1"/>
    <w:rsid w:val="2BA2543C"/>
    <w:rsid w:val="2BF85682"/>
    <w:rsid w:val="2C2105F0"/>
    <w:rsid w:val="2CA06C68"/>
    <w:rsid w:val="2CFC6DCE"/>
    <w:rsid w:val="2D83129D"/>
    <w:rsid w:val="2E020414"/>
    <w:rsid w:val="2F1A178D"/>
    <w:rsid w:val="30450A8C"/>
    <w:rsid w:val="3087555D"/>
    <w:rsid w:val="309C68FD"/>
    <w:rsid w:val="317E4255"/>
    <w:rsid w:val="327570DE"/>
    <w:rsid w:val="32851613"/>
    <w:rsid w:val="32902492"/>
    <w:rsid w:val="32A777DC"/>
    <w:rsid w:val="3333106F"/>
    <w:rsid w:val="34D50630"/>
    <w:rsid w:val="35544EB1"/>
    <w:rsid w:val="35EF5721"/>
    <w:rsid w:val="365B2DB7"/>
    <w:rsid w:val="37465815"/>
    <w:rsid w:val="377F2AD5"/>
    <w:rsid w:val="37A97B52"/>
    <w:rsid w:val="37E312B6"/>
    <w:rsid w:val="380F16DC"/>
    <w:rsid w:val="38997BC6"/>
    <w:rsid w:val="38E80F6D"/>
    <w:rsid w:val="3A3951BD"/>
    <w:rsid w:val="3A4D1D60"/>
    <w:rsid w:val="3A9C399E"/>
    <w:rsid w:val="3AC84793"/>
    <w:rsid w:val="3B007A89"/>
    <w:rsid w:val="3B0752BB"/>
    <w:rsid w:val="3B11613A"/>
    <w:rsid w:val="3B117EE8"/>
    <w:rsid w:val="3C97266F"/>
    <w:rsid w:val="3CDC4526"/>
    <w:rsid w:val="3DBE1A5A"/>
    <w:rsid w:val="3DDC2A2F"/>
    <w:rsid w:val="3DFC4E7F"/>
    <w:rsid w:val="3F0D4E6A"/>
    <w:rsid w:val="3F7B0026"/>
    <w:rsid w:val="3FA4132B"/>
    <w:rsid w:val="3FBB6674"/>
    <w:rsid w:val="3FC27A03"/>
    <w:rsid w:val="3FE23E26"/>
    <w:rsid w:val="402D39CB"/>
    <w:rsid w:val="404E74E8"/>
    <w:rsid w:val="41196D42"/>
    <w:rsid w:val="4162324B"/>
    <w:rsid w:val="419C7DEA"/>
    <w:rsid w:val="41A01FC6"/>
    <w:rsid w:val="42237912"/>
    <w:rsid w:val="4286357D"/>
    <w:rsid w:val="42FC76D0"/>
    <w:rsid w:val="434A21E9"/>
    <w:rsid w:val="43CC70A2"/>
    <w:rsid w:val="43E73EDC"/>
    <w:rsid w:val="4404683C"/>
    <w:rsid w:val="441F5424"/>
    <w:rsid w:val="44493735"/>
    <w:rsid w:val="44BA339E"/>
    <w:rsid w:val="44C8242D"/>
    <w:rsid w:val="4531037F"/>
    <w:rsid w:val="459B4F7E"/>
    <w:rsid w:val="459C0CF6"/>
    <w:rsid w:val="45A94AFE"/>
    <w:rsid w:val="45B65486"/>
    <w:rsid w:val="45CD7101"/>
    <w:rsid w:val="46192347"/>
    <w:rsid w:val="46244F73"/>
    <w:rsid w:val="4781076D"/>
    <w:rsid w:val="47C942DE"/>
    <w:rsid w:val="480212E4"/>
    <w:rsid w:val="48C12F4D"/>
    <w:rsid w:val="4A387D41"/>
    <w:rsid w:val="4AB64608"/>
    <w:rsid w:val="4AB8212E"/>
    <w:rsid w:val="4B1D6435"/>
    <w:rsid w:val="4B4C153B"/>
    <w:rsid w:val="4B814C16"/>
    <w:rsid w:val="4BC114B6"/>
    <w:rsid w:val="4C5B5467"/>
    <w:rsid w:val="4D5519C8"/>
    <w:rsid w:val="4D933821"/>
    <w:rsid w:val="4D977639"/>
    <w:rsid w:val="4E7E348D"/>
    <w:rsid w:val="4EA76741"/>
    <w:rsid w:val="4F052825"/>
    <w:rsid w:val="4F684BFF"/>
    <w:rsid w:val="4F95546D"/>
    <w:rsid w:val="4FD55530"/>
    <w:rsid w:val="5004187B"/>
    <w:rsid w:val="501778F7"/>
    <w:rsid w:val="50414974"/>
    <w:rsid w:val="505019C3"/>
    <w:rsid w:val="50FD6AED"/>
    <w:rsid w:val="511D2986"/>
    <w:rsid w:val="517F5754"/>
    <w:rsid w:val="519D207E"/>
    <w:rsid w:val="53590226"/>
    <w:rsid w:val="53803A05"/>
    <w:rsid w:val="538C23AA"/>
    <w:rsid w:val="53CB2ED2"/>
    <w:rsid w:val="53F51CFD"/>
    <w:rsid w:val="545306B4"/>
    <w:rsid w:val="55F07A61"/>
    <w:rsid w:val="55FC102D"/>
    <w:rsid w:val="55FF9B2E"/>
    <w:rsid w:val="563A5319"/>
    <w:rsid w:val="56680EAC"/>
    <w:rsid w:val="56890E23"/>
    <w:rsid w:val="568E6439"/>
    <w:rsid w:val="56B7773E"/>
    <w:rsid w:val="5773C710"/>
    <w:rsid w:val="57E26A3C"/>
    <w:rsid w:val="590F3861"/>
    <w:rsid w:val="5963656D"/>
    <w:rsid w:val="5A985301"/>
    <w:rsid w:val="5C0C4E6B"/>
    <w:rsid w:val="5C133668"/>
    <w:rsid w:val="5C89392A"/>
    <w:rsid w:val="5CAA0600"/>
    <w:rsid w:val="5CCF2C88"/>
    <w:rsid w:val="5CE943C9"/>
    <w:rsid w:val="5DCA41FA"/>
    <w:rsid w:val="5E2E52FB"/>
    <w:rsid w:val="5E8F31A2"/>
    <w:rsid w:val="5F17C656"/>
    <w:rsid w:val="5F742670"/>
    <w:rsid w:val="5FBA6029"/>
    <w:rsid w:val="60883C70"/>
    <w:rsid w:val="611117BC"/>
    <w:rsid w:val="61131A15"/>
    <w:rsid w:val="61DF3FED"/>
    <w:rsid w:val="61E539EF"/>
    <w:rsid w:val="62015ADE"/>
    <w:rsid w:val="62404A8B"/>
    <w:rsid w:val="62856942"/>
    <w:rsid w:val="629B6165"/>
    <w:rsid w:val="62F53AC8"/>
    <w:rsid w:val="63091321"/>
    <w:rsid w:val="63C72C14"/>
    <w:rsid w:val="65611773"/>
    <w:rsid w:val="65B732B6"/>
    <w:rsid w:val="6603474E"/>
    <w:rsid w:val="66682803"/>
    <w:rsid w:val="677F7E04"/>
    <w:rsid w:val="690E2E58"/>
    <w:rsid w:val="693115D2"/>
    <w:rsid w:val="697274F4"/>
    <w:rsid w:val="6A333127"/>
    <w:rsid w:val="6A6E7CFF"/>
    <w:rsid w:val="6A8A71EB"/>
    <w:rsid w:val="6AAF0A00"/>
    <w:rsid w:val="6AB9187F"/>
    <w:rsid w:val="6B4A697B"/>
    <w:rsid w:val="6B5E13C7"/>
    <w:rsid w:val="6BBD7303"/>
    <w:rsid w:val="6C88775B"/>
    <w:rsid w:val="6CD67880"/>
    <w:rsid w:val="6D0B2E97"/>
    <w:rsid w:val="6D3B2A1F"/>
    <w:rsid w:val="6DC02F24"/>
    <w:rsid w:val="6E533D98"/>
    <w:rsid w:val="6E677844"/>
    <w:rsid w:val="6ED99B81"/>
    <w:rsid w:val="6FAAA0DD"/>
    <w:rsid w:val="6FAF14A2"/>
    <w:rsid w:val="704240C4"/>
    <w:rsid w:val="70C745CA"/>
    <w:rsid w:val="7137174F"/>
    <w:rsid w:val="719B1CDE"/>
    <w:rsid w:val="72086956"/>
    <w:rsid w:val="720930EC"/>
    <w:rsid w:val="722C6DDA"/>
    <w:rsid w:val="72DC5162"/>
    <w:rsid w:val="72DF209E"/>
    <w:rsid w:val="730B4C41"/>
    <w:rsid w:val="73706D62"/>
    <w:rsid w:val="73BF22DB"/>
    <w:rsid w:val="73CA4470"/>
    <w:rsid w:val="7420471D"/>
    <w:rsid w:val="749B0247"/>
    <w:rsid w:val="757E794D"/>
    <w:rsid w:val="759E7FEF"/>
    <w:rsid w:val="75F37E27"/>
    <w:rsid w:val="75FC2F67"/>
    <w:rsid w:val="769A6A08"/>
    <w:rsid w:val="77161E07"/>
    <w:rsid w:val="778B59B2"/>
    <w:rsid w:val="77E837A3"/>
    <w:rsid w:val="78771BB8"/>
    <w:rsid w:val="788B5230"/>
    <w:rsid w:val="78C37D6C"/>
    <w:rsid w:val="79E22D53"/>
    <w:rsid w:val="79EFE92F"/>
    <w:rsid w:val="7A794B87"/>
    <w:rsid w:val="7ABB519F"/>
    <w:rsid w:val="7B534407"/>
    <w:rsid w:val="7BF3D07E"/>
    <w:rsid w:val="7BFD9E9D"/>
    <w:rsid w:val="7C1E59E5"/>
    <w:rsid w:val="7C991510"/>
    <w:rsid w:val="7CB400F8"/>
    <w:rsid w:val="7CD12A58"/>
    <w:rsid w:val="7CD3D88D"/>
    <w:rsid w:val="7D1E1A15"/>
    <w:rsid w:val="7D7A4967"/>
    <w:rsid w:val="7DAB14FB"/>
    <w:rsid w:val="7DD1292C"/>
    <w:rsid w:val="7DDEE21D"/>
    <w:rsid w:val="7F480FCB"/>
    <w:rsid w:val="7F671451"/>
    <w:rsid w:val="7F840255"/>
    <w:rsid w:val="7FD36AE7"/>
    <w:rsid w:val="7FF34603"/>
    <w:rsid w:val="7FFD6EDF"/>
    <w:rsid w:val="B3DFA468"/>
    <w:rsid w:val="BFFF538A"/>
    <w:rsid w:val="CCF6F1B0"/>
    <w:rsid w:val="DFBB5A45"/>
    <w:rsid w:val="E69ECEE0"/>
    <w:rsid w:val="E6FF0A08"/>
    <w:rsid w:val="EEEB136F"/>
    <w:rsid w:val="F7BF8CD1"/>
    <w:rsid w:val="FDFF39C8"/>
    <w:rsid w:val="FEF75950"/>
    <w:rsid w:val="FFBC8DD8"/>
    <w:rsid w:val="FFFB9CBF"/>
    <w:rsid w:val="FFFCE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3"/>
    <w:semiHidden/>
    <w:unhideWhenUsed/>
    <w:qFormat/>
    <w:uiPriority w:val="99"/>
    <w:pPr>
      <w:spacing w:after="120"/>
      <w:ind w:left="420" w:leftChars="200"/>
    </w:pPr>
  </w:style>
  <w:style w:type="paragraph" w:styleId="3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next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Body Text First Indent 2"/>
    <w:basedOn w:val="2"/>
    <w:next w:val="1"/>
    <w:link w:val="16"/>
    <w:qFormat/>
    <w:uiPriority w:val="99"/>
    <w:pPr>
      <w:tabs>
        <w:tab w:val="left" w:pos="-1440"/>
      </w:tabs>
      <w:autoSpaceDE w:val="0"/>
      <w:autoSpaceDN w:val="0"/>
      <w:adjustRightInd w:val="0"/>
      <w:spacing w:after="0" w:line="360" w:lineRule="auto"/>
      <w:ind w:left="176" w:leftChars="0" w:firstLine="420" w:firstLineChars="200"/>
      <w:jc w:val="left"/>
    </w:pPr>
    <w:rPr>
      <w:rFonts w:hint="eastAsia" w:ascii="仿宋" w:hAnsi="Times New Roman" w:eastAsia="仿宋" w:cs="Times New Roman"/>
      <w:sz w:val="24"/>
      <w:szCs w:val="24"/>
    </w:rPr>
  </w:style>
  <w:style w:type="character" w:styleId="10">
    <w:name w:val="Strong"/>
    <w:basedOn w:val="9"/>
    <w:qFormat/>
    <w:uiPriority w:val="99"/>
    <w:rPr>
      <w:rFonts w:cs="Times New Roman"/>
      <w:b/>
      <w:bCs/>
    </w:rPr>
  </w:style>
  <w:style w:type="character" w:styleId="11">
    <w:name w:val="Emphasis"/>
    <w:basedOn w:val="9"/>
    <w:qFormat/>
    <w:uiPriority w:val="20"/>
    <w:rPr>
      <w:i/>
      <w:iCs/>
    </w:rPr>
  </w:style>
  <w:style w:type="character" w:styleId="12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正文文本缩进 字符"/>
    <w:basedOn w:val="9"/>
    <w:link w:val="2"/>
    <w:semiHidden/>
    <w:qFormat/>
    <w:uiPriority w:val="99"/>
  </w:style>
  <w:style w:type="character" w:customStyle="1" w:styleId="14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6">
    <w:name w:val="正文文本首行缩进 2 字符"/>
    <w:basedOn w:val="13"/>
    <w:link w:val="7"/>
    <w:qFormat/>
    <w:uiPriority w:val="99"/>
    <w:rPr>
      <w:rFonts w:ascii="仿宋" w:hAnsi="Times New Roman" w:eastAsia="仿宋" w:cs="Times New Roman"/>
      <w:sz w:val="24"/>
      <w:szCs w:val="24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批注框文本 字符"/>
    <w:basedOn w:val="9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3950</Words>
  <Characters>4256</Characters>
  <Lines>36</Lines>
  <Paragraphs>10</Paragraphs>
  <TotalTime>1</TotalTime>
  <ScaleCrop>false</ScaleCrop>
  <LinksUpToDate>false</LinksUpToDate>
  <CharactersWithSpaces>4393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2026-06-04T08:56:00Z</dcterms:created>
  <dc:creator>Lenovo</dc:creator>
  <cp:lastModifiedBy>xyh</cp:lastModifiedBy>
  <cp:lastPrinted>2023-05-09T02:47:00Z</cp:lastPrinted>
  <dcterms:modified xsi:type="dcterms:W3CDTF">2026-06-04T09:08:12Z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7321570F5FEC4DD1AADF2A5DFC4F8227_13</vt:lpwstr>
  </property>
  <property fmtid="{D5CDD505-2E9C-101B-9397-08002B2CF9AE}" pid="4" name="KSOTemplateDocerSaveRecord">
    <vt:lpwstr>eyJoZGlkIjoiODIwNTRkYjhhYTAzMzMyNTM3NzJhODUwNmI1NjExMTYiLCJ1c2VySWQiOiIzNjkxMzM5MTkifQ==</vt:lpwstr>
  </property>
</Properties>
</file>