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D244" w14:textId="77777777" w:rsidR="00F751AF" w:rsidRDefault="00000000">
      <w:pPr>
        <w:widowControl/>
        <w:spacing w:line="440" w:lineRule="atLeast"/>
        <w:jc w:val="center"/>
        <w:rPr>
          <w:rFonts w:ascii="华文中宋" w:eastAsia="华文中宋" w:hAnsi="华文中宋" w:cs="宋体" w:hint="eastAsia"/>
          <w:b/>
          <w:color w:val="FF0000"/>
          <w:sz w:val="36"/>
          <w:szCs w:val="36"/>
        </w:rPr>
      </w:pPr>
      <w:r>
        <w:rPr>
          <w:noProof/>
          <w:sz w:val="32"/>
        </w:rPr>
        <mc:AlternateContent>
          <mc:Choice Requires="wps">
            <w:drawing>
              <wp:anchor distT="0" distB="0" distL="114300" distR="114300" simplePos="0" relativeHeight="251656192" behindDoc="0" locked="0" layoutInCell="1" allowOverlap="1" wp14:anchorId="4FBD57D2" wp14:editId="2DDF02DC">
                <wp:simplePos x="0" y="0"/>
                <wp:positionH relativeFrom="column">
                  <wp:posOffset>-401320</wp:posOffset>
                </wp:positionH>
                <wp:positionV relativeFrom="paragraph">
                  <wp:posOffset>-271780</wp:posOffset>
                </wp:positionV>
                <wp:extent cx="6478270" cy="1944370"/>
                <wp:effectExtent l="0" t="0" r="17780" b="17780"/>
                <wp:wrapNone/>
                <wp:docPr id="1" name="文本框 1"/>
                <wp:cNvGraphicFramePr/>
                <a:graphic xmlns:a="http://schemas.openxmlformats.org/drawingml/2006/main">
                  <a:graphicData uri="http://schemas.microsoft.com/office/word/2010/wordprocessingShape">
                    <wps:wsp>
                      <wps:cNvSpPr txBox="1"/>
                      <wps:spPr>
                        <a:xfrm>
                          <a:off x="0" y="0"/>
                          <a:ext cx="6478270" cy="1944370"/>
                        </a:xfrm>
                        <a:prstGeom prst="rect">
                          <a:avLst/>
                        </a:prstGeom>
                        <a:solidFill>
                          <a:srgbClr val="FFFFFF"/>
                        </a:solidFill>
                        <a:ln>
                          <a:noFill/>
                        </a:ln>
                      </wps:spPr>
                      <wps:txbx>
                        <w:txbxContent>
                          <w:p w14:paraId="31BF95B0" w14:textId="77777777" w:rsidR="00F751AF" w:rsidRDefault="00000000">
                            <w:pPr>
                              <w:spacing w:before="439" w:line="1025" w:lineRule="exact"/>
                              <w:jc w:val="distribute"/>
                              <w:rPr>
                                <w:rFonts w:ascii="方正公文小标宋" w:eastAsia="方正公文小标宋" w:hAnsi="方正公文小标宋" w:cs="方正公文小标宋" w:hint="eastAsia"/>
                                <w:color w:val="FF0000"/>
                                <w:w w:val="60"/>
                                <w:position w:val="10"/>
                                <w:sz w:val="90"/>
                                <w:szCs w:val="90"/>
                              </w:rPr>
                            </w:pPr>
                            <w:r>
                              <w:rPr>
                                <w:rFonts w:ascii="方正公文小标宋" w:eastAsia="方正公文小标宋" w:hAnsi="方正公文小标宋" w:cs="方正公文小标宋" w:hint="eastAsia"/>
                                <w:color w:val="FF0000"/>
                                <w:w w:val="60"/>
                                <w:position w:val="10"/>
                                <w:sz w:val="90"/>
                                <w:szCs w:val="90"/>
                              </w:rPr>
                              <w:t>新质生产力发展促进中心</w:t>
                            </w:r>
                          </w:p>
                          <w:p w14:paraId="1DDE4FD7" w14:textId="77777777" w:rsidR="00F751AF" w:rsidRDefault="00000000">
                            <w:pPr>
                              <w:spacing w:before="439" w:line="1025" w:lineRule="exact"/>
                              <w:jc w:val="distribute"/>
                              <w:rPr>
                                <w:rFonts w:ascii="微软雅黑" w:eastAsia="微软雅黑" w:hAnsi="微软雅黑" w:cs="微软雅黑" w:hint="eastAsia"/>
                                <w:w w:val="60"/>
                                <w:sz w:val="60"/>
                                <w:szCs w:val="60"/>
                              </w:rPr>
                            </w:pPr>
                            <w:r>
                              <w:rPr>
                                <w:rFonts w:ascii="方正公文小标宋" w:eastAsia="方正公文小标宋" w:hAnsi="方正公文小标宋" w:cs="方正公文小标宋" w:hint="eastAsia"/>
                                <w:color w:val="FF0000"/>
                                <w:w w:val="60"/>
                                <w:position w:val="10"/>
                                <w:sz w:val="90"/>
                                <w:szCs w:val="90"/>
                              </w:rPr>
                              <w:t>北京中建科信管理咨询集团</w:t>
                            </w:r>
                          </w:p>
                          <w:p w14:paraId="74A9A8D8" w14:textId="77777777" w:rsidR="00F751AF" w:rsidRDefault="00F751AF">
                            <w:pPr>
                              <w:rPr>
                                <w:rFonts w:hint="eastAsia"/>
                              </w:rPr>
                            </w:pPr>
                          </w:p>
                        </w:txbxContent>
                      </wps:txbx>
                      <wps:bodyPr upright="1"/>
                    </wps:wsp>
                  </a:graphicData>
                </a:graphic>
              </wp:anchor>
            </w:drawing>
          </mc:Choice>
          <mc:Fallback xmlns:wpsCustomData="http://www.wps.cn/officeDocument/2013/wpsCustomData">
            <w:pict>
              <v:shape id="_x0000_s1026" o:spid="_x0000_s1026" o:spt="202" type="#_x0000_t202" style="position:absolute;left:0pt;margin-left:-31.6pt;margin-top:-21.4pt;height:153.1pt;width:510.1pt;z-index:251659264;mso-width-relative:page;mso-height-relative:page;" fillcolor="#FFFFFF" filled="t" stroked="f" coordsize="21600,21600" o:gfxdata="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PpfI2QAAAAsBAAAPAAAAAAAAAAEAIAAAACIAAABkcnMvZG93bnJldi54&#10;bWxQSwECFAAUAAAACACHTuJAuSbT68ABAAB4AwAADgAAAAAAAAABACAAAAAoAQAAZHJzL2Uyb0Rv&#10;Yy54bWxQSwUGAAAAAAYABgBZAQAAWgUAAAAA&#10;">
                <v:fill on="t" focussize="0,0"/>
                <v:stroke on="f"/>
                <v:imagedata o:title=""/>
                <o:lock v:ext="edit" aspectratio="f"/>
                <v:textbox>
                  <w:txbxContent>
                    <w:p w14:paraId="56117EC1">
                      <w:pPr>
                        <w:spacing w:before="439" w:line="1025" w:lineRule="exact"/>
                        <w:jc w:val="distribute"/>
                        <w:rPr>
                          <w:rFonts w:hint="eastAsia" w:ascii="方正公文小标宋" w:hAnsi="方正公文小标宋" w:eastAsia="方正公文小标宋" w:cs="方正公文小标宋"/>
                          <w:color w:val="FF0000"/>
                          <w:spacing w:val="0"/>
                          <w:w w:val="60"/>
                          <w:position w:val="10"/>
                          <w:sz w:val="90"/>
                          <w:szCs w:val="90"/>
                        </w:rPr>
                      </w:pPr>
                      <w:r>
                        <w:rPr>
                          <w:rFonts w:hint="eastAsia" w:ascii="方正公文小标宋" w:hAnsi="方正公文小标宋" w:eastAsia="方正公文小标宋" w:cs="方正公文小标宋"/>
                          <w:color w:val="FF0000"/>
                          <w:spacing w:val="0"/>
                          <w:w w:val="60"/>
                          <w:position w:val="10"/>
                          <w:sz w:val="90"/>
                          <w:szCs w:val="90"/>
                        </w:rPr>
                        <w:t>新质生产力</w:t>
                      </w:r>
                      <w:r>
                        <w:rPr>
                          <w:rFonts w:hint="eastAsia" w:ascii="方正公文小标宋" w:hAnsi="方正公文小标宋" w:eastAsia="方正公文小标宋" w:cs="方正公文小标宋"/>
                          <w:color w:val="FF0000"/>
                          <w:spacing w:val="0"/>
                          <w:w w:val="60"/>
                          <w:position w:val="10"/>
                          <w:sz w:val="90"/>
                          <w:szCs w:val="90"/>
                          <w:lang w:val="en-US" w:eastAsia="zh-CN"/>
                        </w:rPr>
                        <w:t>发展</w:t>
                      </w:r>
                      <w:r>
                        <w:rPr>
                          <w:rFonts w:hint="eastAsia" w:ascii="方正公文小标宋" w:hAnsi="方正公文小标宋" w:eastAsia="方正公文小标宋" w:cs="方正公文小标宋"/>
                          <w:color w:val="FF0000"/>
                          <w:spacing w:val="0"/>
                          <w:w w:val="60"/>
                          <w:position w:val="10"/>
                          <w:sz w:val="90"/>
                          <w:szCs w:val="90"/>
                        </w:rPr>
                        <w:t>促进中心</w:t>
                      </w:r>
                    </w:p>
                    <w:p w14:paraId="0EC78453">
                      <w:pPr>
                        <w:spacing w:before="439" w:line="1025" w:lineRule="exact"/>
                        <w:jc w:val="distribute"/>
                        <w:rPr>
                          <w:rFonts w:ascii="微软雅黑" w:hAnsi="微软雅黑" w:eastAsia="微软雅黑" w:cs="微软雅黑"/>
                          <w:w w:val="60"/>
                          <w:sz w:val="60"/>
                          <w:szCs w:val="60"/>
                        </w:rPr>
                      </w:pPr>
                      <w:r>
                        <w:rPr>
                          <w:rFonts w:hint="eastAsia" w:ascii="方正公文小标宋" w:hAnsi="方正公文小标宋" w:eastAsia="方正公文小标宋" w:cs="方正公文小标宋"/>
                          <w:color w:val="FF0000"/>
                          <w:spacing w:val="0"/>
                          <w:w w:val="60"/>
                          <w:position w:val="10"/>
                          <w:sz w:val="90"/>
                          <w:szCs w:val="90"/>
                        </w:rPr>
                        <w:t>北京中建科信管理咨询集团</w:t>
                      </w:r>
                    </w:p>
                    <w:p w14:paraId="0090C437"/>
                  </w:txbxContent>
                </v:textbox>
              </v:shape>
            </w:pict>
          </mc:Fallback>
        </mc:AlternateContent>
      </w:r>
    </w:p>
    <w:p w14:paraId="51D05BBC" w14:textId="77777777" w:rsidR="00F751AF" w:rsidRDefault="00F751AF">
      <w:pPr>
        <w:widowControl/>
        <w:spacing w:line="440" w:lineRule="atLeast"/>
        <w:jc w:val="center"/>
        <w:rPr>
          <w:rFonts w:ascii="华文中宋" w:eastAsia="华文中宋" w:hAnsi="华文中宋" w:cs="宋体" w:hint="eastAsia"/>
          <w:b/>
          <w:color w:val="FF0000"/>
          <w:sz w:val="36"/>
          <w:szCs w:val="36"/>
        </w:rPr>
      </w:pPr>
    </w:p>
    <w:p w14:paraId="415C1DC1" w14:textId="77777777" w:rsidR="00F751AF" w:rsidRDefault="00F751AF">
      <w:pPr>
        <w:widowControl/>
        <w:spacing w:line="440" w:lineRule="atLeast"/>
        <w:jc w:val="center"/>
        <w:rPr>
          <w:rFonts w:ascii="华文中宋" w:eastAsia="华文中宋" w:hAnsi="华文中宋" w:cs="宋体" w:hint="eastAsia"/>
          <w:b/>
          <w:color w:val="FF0000"/>
          <w:sz w:val="36"/>
          <w:szCs w:val="36"/>
        </w:rPr>
      </w:pPr>
    </w:p>
    <w:p w14:paraId="05EE4285" w14:textId="77777777" w:rsidR="00F751AF" w:rsidRDefault="00F751AF">
      <w:pPr>
        <w:widowControl/>
        <w:spacing w:line="440" w:lineRule="atLeast"/>
        <w:jc w:val="center"/>
        <w:rPr>
          <w:rFonts w:ascii="华文中宋" w:eastAsia="华文中宋" w:hAnsi="华文中宋" w:cs="宋体" w:hint="eastAsia"/>
          <w:b/>
          <w:color w:val="FF0000"/>
          <w:sz w:val="36"/>
          <w:szCs w:val="36"/>
        </w:rPr>
      </w:pPr>
    </w:p>
    <w:p w14:paraId="207A8DC8" w14:textId="77777777" w:rsidR="00F751AF" w:rsidRDefault="00000000">
      <w:pPr>
        <w:widowControl/>
        <w:spacing w:line="440" w:lineRule="atLeast"/>
        <w:jc w:val="center"/>
        <w:rPr>
          <w:rFonts w:ascii="华文中宋" w:eastAsia="华文中宋" w:hAnsi="华文中宋" w:cs="宋体" w:hint="eastAsia"/>
          <w:b/>
          <w:color w:val="FF0000"/>
          <w:sz w:val="36"/>
          <w:szCs w:val="36"/>
        </w:rPr>
      </w:pPr>
      <w:r>
        <w:rPr>
          <w:noProof/>
        </w:rPr>
        <w:drawing>
          <wp:anchor distT="0" distB="0" distL="114300" distR="114300" simplePos="0" relativeHeight="251657216" behindDoc="0" locked="0" layoutInCell="1" allowOverlap="1" wp14:anchorId="5F7D7727" wp14:editId="6B510D13">
            <wp:simplePos x="0" y="0"/>
            <wp:positionH relativeFrom="column">
              <wp:posOffset>-180975</wp:posOffset>
            </wp:positionH>
            <wp:positionV relativeFrom="paragraph">
              <wp:posOffset>219075</wp:posOffset>
            </wp:positionV>
            <wp:extent cx="6065520" cy="28575"/>
            <wp:effectExtent l="0" t="0" r="11430" b="9525"/>
            <wp:wrapNone/>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7"/>
                    <a:stretch>
                      <a:fillRect/>
                    </a:stretch>
                  </pic:blipFill>
                  <pic:spPr>
                    <a:xfrm>
                      <a:off x="0" y="0"/>
                      <a:ext cx="6065520" cy="28575"/>
                    </a:xfrm>
                    <a:prstGeom prst="rect">
                      <a:avLst/>
                    </a:prstGeom>
                    <a:noFill/>
                    <a:ln>
                      <a:noFill/>
                    </a:ln>
                  </pic:spPr>
                </pic:pic>
              </a:graphicData>
            </a:graphic>
          </wp:anchor>
        </w:drawing>
      </w:r>
    </w:p>
    <w:p w14:paraId="189E049B" w14:textId="77777777" w:rsidR="00F751AF" w:rsidRDefault="00F751AF">
      <w:pPr>
        <w:spacing w:line="580" w:lineRule="exact"/>
        <w:ind w:leftChars="49" w:left="103"/>
        <w:jc w:val="center"/>
        <w:rPr>
          <w:rFonts w:ascii="黑体" w:eastAsia="黑体" w:hAnsi="黑体" w:hint="eastAsia"/>
          <w:b/>
          <w:bCs/>
          <w:sz w:val="36"/>
          <w:szCs w:val="36"/>
        </w:rPr>
      </w:pPr>
    </w:p>
    <w:p w14:paraId="012364B6" w14:textId="77777777" w:rsidR="00F751AF" w:rsidRDefault="00000000">
      <w:pPr>
        <w:spacing w:line="580" w:lineRule="exact"/>
        <w:ind w:leftChars="49" w:left="103"/>
        <w:jc w:val="center"/>
        <w:rPr>
          <w:rFonts w:ascii="黑体" w:eastAsia="黑体" w:hAnsi="黑体" w:hint="eastAsia"/>
          <w:b/>
          <w:bCs/>
          <w:sz w:val="36"/>
          <w:szCs w:val="36"/>
        </w:rPr>
      </w:pPr>
      <w:r>
        <w:rPr>
          <w:rFonts w:ascii="黑体" w:eastAsia="黑体" w:hAnsi="黑体" w:hint="eastAsia"/>
          <w:b/>
          <w:bCs/>
          <w:sz w:val="36"/>
          <w:szCs w:val="36"/>
        </w:rPr>
        <w:t>关于举办</w:t>
      </w:r>
      <w:r>
        <w:rPr>
          <w:rFonts w:ascii="微软雅黑" w:eastAsia="微软雅黑" w:hAnsi="微软雅黑" w:cs="微软雅黑" w:hint="eastAsia"/>
          <w:b/>
          <w:bCs/>
          <w:sz w:val="36"/>
          <w:szCs w:val="36"/>
        </w:rPr>
        <w:t>“</w:t>
      </w:r>
      <w:r>
        <w:rPr>
          <w:rFonts w:ascii="黑体" w:eastAsia="黑体" w:hAnsi="黑体" w:hint="eastAsia"/>
          <w:b/>
          <w:bCs/>
          <w:sz w:val="36"/>
          <w:szCs w:val="36"/>
        </w:rPr>
        <w:t>202</w:t>
      </w:r>
      <w:r>
        <w:rPr>
          <w:rFonts w:ascii="黑体" w:eastAsia="黑体" w:hAnsi="黑体"/>
          <w:b/>
          <w:bCs/>
          <w:sz w:val="36"/>
          <w:szCs w:val="36"/>
        </w:rPr>
        <w:t>6</w:t>
      </w:r>
      <w:r>
        <w:rPr>
          <w:rFonts w:ascii="黑体" w:eastAsia="黑体" w:hAnsi="黑体" w:hint="eastAsia"/>
          <w:b/>
          <w:bCs/>
          <w:sz w:val="36"/>
          <w:szCs w:val="36"/>
        </w:rPr>
        <w:t>年投融资优质项目储备和谋划、</w:t>
      </w:r>
    </w:p>
    <w:p w14:paraId="45DB48A6" w14:textId="77777777" w:rsidR="00F751AF" w:rsidRDefault="00000000">
      <w:pPr>
        <w:spacing w:line="580" w:lineRule="exact"/>
        <w:ind w:leftChars="49" w:left="103"/>
        <w:jc w:val="center"/>
        <w:rPr>
          <w:rFonts w:ascii="仿宋" w:eastAsia="仿宋" w:hAnsi="仿宋" w:cs="仿宋" w:hint="eastAsia"/>
          <w:b/>
          <w:bCs/>
          <w:sz w:val="36"/>
          <w:szCs w:val="36"/>
        </w:rPr>
      </w:pPr>
      <w:r>
        <w:rPr>
          <w:rFonts w:ascii="微软雅黑" w:eastAsia="微软雅黑" w:hAnsi="微软雅黑" w:cs="微软雅黑" w:hint="eastAsia"/>
          <w:b/>
          <w:bCs/>
          <w:sz w:val="36"/>
          <w:szCs w:val="36"/>
        </w:rPr>
        <w:t>‘</w:t>
      </w:r>
      <w:r>
        <w:rPr>
          <w:rFonts w:ascii="黑体" w:eastAsia="黑体" w:hAnsi="黑体" w:hint="eastAsia"/>
          <w:b/>
          <w:bCs/>
          <w:sz w:val="36"/>
          <w:szCs w:val="36"/>
        </w:rPr>
        <w:t>三大资金</w:t>
      </w:r>
      <w:r>
        <w:rPr>
          <w:rFonts w:ascii="微软雅黑" w:eastAsia="微软雅黑" w:hAnsi="微软雅黑" w:cs="微软雅黑" w:hint="eastAsia"/>
          <w:b/>
          <w:bCs/>
          <w:sz w:val="36"/>
          <w:szCs w:val="36"/>
        </w:rPr>
        <w:t>’</w:t>
      </w:r>
      <w:r>
        <w:rPr>
          <w:rFonts w:ascii="黑体" w:eastAsia="黑体" w:hAnsi="黑体" w:hint="eastAsia"/>
          <w:b/>
          <w:bCs/>
          <w:sz w:val="36"/>
          <w:szCs w:val="36"/>
        </w:rPr>
        <w:t>申报，城市更新及</w:t>
      </w:r>
      <w:r>
        <w:rPr>
          <w:rFonts w:ascii="微软雅黑" w:eastAsia="微软雅黑" w:hAnsi="微软雅黑" w:cs="微软雅黑" w:hint="eastAsia"/>
          <w:b/>
          <w:bCs/>
          <w:sz w:val="36"/>
          <w:szCs w:val="36"/>
        </w:rPr>
        <w:t>‘</w:t>
      </w:r>
      <w:r>
        <w:rPr>
          <w:rFonts w:ascii="黑体" w:eastAsia="黑体" w:hAnsi="黑体" w:hint="eastAsia"/>
          <w:b/>
          <w:bCs/>
          <w:sz w:val="36"/>
          <w:szCs w:val="36"/>
        </w:rPr>
        <w:t>三资三化</w:t>
      </w:r>
      <w:r>
        <w:rPr>
          <w:rFonts w:ascii="微软雅黑" w:eastAsia="微软雅黑" w:hAnsi="微软雅黑" w:cs="微软雅黑" w:hint="eastAsia"/>
          <w:b/>
          <w:bCs/>
          <w:sz w:val="36"/>
          <w:szCs w:val="36"/>
        </w:rPr>
        <w:t>’</w:t>
      </w:r>
      <w:r>
        <w:rPr>
          <w:rFonts w:ascii="黑体" w:eastAsia="黑体" w:hAnsi="黑体" w:hint="eastAsia"/>
          <w:b/>
          <w:bCs/>
          <w:sz w:val="36"/>
          <w:szCs w:val="36"/>
        </w:rPr>
        <w:t>盘活存量资产</w:t>
      </w:r>
      <w:r>
        <w:rPr>
          <w:rFonts w:ascii="黑体" w:eastAsia="黑体" w:hAnsi="黑体"/>
          <w:b/>
          <w:bCs/>
          <w:sz w:val="36"/>
          <w:szCs w:val="36"/>
        </w:rPr>
        <w:t>高级研修班</w:t>
      </w:r>
      <w:r>
        <w:rPr>
          <w:rFonts w:ascii="微软雅黑" w:eastAsia="微软雅黑" w:hAnsi="微软雅黑" w:cs="微软雅黑" w:hint="eastAsia"/>
          <w:b/>
          <w:bCs/>
          <w:sz w:val="36"/>
          <w:szCs w:val="36"/>
        </w:rPr>
        <w:t>”</w:t>
      </w:r>
      <w:r>
        <w:rPr>
          <w:rFonts w:ascii="黑体" w:eastAsia="黑体" w:hAnsi="黑体" w:hint="eastAsia"/>
          <w:b/>
          <w:bCs/>
          <w:sz w:val="36"/>
          <w:szCs w:val="36"/>
        </w:rPr>
        <w:t>的通知</w:t>
      </w:r>
    </w:p>
    <w:p w14:paraId="087EDA6E" w14:textId="77777777" w:rsidR="00F751AF" w:rsidRDefault="00F751AF">
      <w:pPr>
        <w:spacing w:line="520" w:lineRule="exact"/>
        <w:jc w:val="left"/>
        <w:rPr>
          <w:rFonts w:ascii="仿宋" w:eastAsia="仿宋" w:hAnsi="仿宋" w:cs="仿宋" w:hint="eastAsia"/>
          <w:b/>
          <w:bCs/>
          <w:sz w:val="28"/>
          <w:szCs w:val="28"/>
        </w:rPr>
      </w:pPr>
    </w:p>
    <w:p w14:paraId="058E6FE7" w14:textId="77777777" w:rsidR="00F751AF" w:rsidRDefault="00000000">
      <w:pPr>
        <w:spacing w:line="536" w:lineRule="exact"/>
        <w:jc w:val="left"/>
        <w:rPr>
          <w:rFonts w:ascii="仿宋" w:eastAsia="仿宋" w:hAnsi="仿宋" w:cs="仿宋" w:hint="eastAsia"/>
          <w:b/>
          <w:bCs/>
          <w:sz w:val="28"/>
          <w:szCs w:val="28"/>
        </w:rPr>
      </w:pPr>
      <w:r>
        <w:rPr>
          <w:rFonts w:ascii="仿宋" w:eastAsia="仿宋" w:hAnsi="仿宋" w:cs="仿宋" w:hint="eastAsia"/>
          <w:b/>
          <w:bCs/>
          <w:sz w:val="28"/>
          <w:szCs w:val="28"/>
        </w:rPr>
        <w:t>各有关单位：</w:t>
      </w:r>
    </w:p>
    <w:p w14:paraId="44679E66" w14:textId="77777777" w:rsidR="00F751AF" w:rsidRDefault="00000000">
      <w:pPr>
        <w:pStyle w:val="a9"/>
        <w:shd w:val="clear" w:color="auto" w:fill="FFFFFF"/>
        <w:spacing w:before="0" w:beforeAutospacing="0" w:after="0" w:afterAutospacing="0" w:line="536" w:lineRule="exact"/>
        <w:ind w:firstLine="560"/>
        <w:jc w:val="both"/>
        <w:rPr>
          <w:rFonts w:ascii="仿宋" w:eastAsia="仿宋" w:hAnsi="仿宋" w:hint="eastAsia"/>
          <w:sz w:val="28"/>
          <w:szCs w:val="28"/>
        </w:rPr>
      </w:pPr>
      <w:r>
        <w:rPr>
          <w:rFonts w:ascii="仿宋" w:eastAsia="仿宋" w:hAnsi="仿宋" w:hint="eastAsia"/>
          <w:sz w:val="28"/>
          <w:szCs w:val="28"/>
        </w:rPr>
        <w:t>2</w:t>
      </w:r>
      <w:r>
        <w:rPr>
          <w:rFonts w:ascii="仿宋" w:eastAsia="仿宋" w:hAnsi="仿宋"/>
          <w:sz w:val="28"/>
          <w:szCs w:val="28"/>
        </w:rPr>
        <w:t>026年</w:t>
      </w:r>
      <w:r>
        <w:rPr>
          <w:rFonts w:ascii="仿宋" w:eastAsia="仿宋" w:hAnsi="仿宋" w:hint="eastAsia"/>
          <w:sz w:val="28"/>
          <w:szCs w:val="28"/>
        </w:rPr>
        <w:t>，中央将继续实施更加积极的财政政策，保持必要的财政赤字、债务总规模和支出总量，预计今年中央和地方全年新增超</w:t>
      </w:r>
      <w:r>
        <w:rPr>
          <w:rFonts w:ascii="仿宋" w:eastAsia="仿宋" w:hAnsi="仿宋"/>
          <w:sz w:val="28"/>
          <w:szCs w:val="28"/>
        </w:rPr>
        <w:t>12万亿的政府债务，加力推动基础设施项目建设</w:t>
      </w:r>
      <w:r>
        <w:rPr>
          <w:rFonts w:ascii="仿宋" w:eastAsia="仿宋" w:hAnsi="仿宋" w:hint="eastAsia"/>
          <w:sz w:val="28"/>
          <w:szCs w:val="28"/>
        </w:rPr>
        <w:t>。持续发行超长期特别国债，优化实施“两重”项目，优化“两新”政策实施。适当增加中央预算内投资规模，进一步优化地方政府专项债券用途管理，继续发挥新型政策性金融工具作用。这些增量政策，为各地政府和平台公司谋划投融资项目提供了政策保障和资金支持。</w:t>
      </w:r>
    </w:p>
    <w:p w14:paraId="563492B5" w14:textId="77777777" w:rsidR="00F751AF" w:rsidRDefault="00000000">
      <w:pPr>
        <w:pStyle w:val="a9"/>
        <w:shd w:val="clear" w:color="auto" w:fill="FFFFFF"/>
        <w:spacing w:before="0" w:beforeAutospacing="0" w:after="0" w:afterAutospacing="0" w:line="536" w:lineRule="exact"/>
        <w:ind w:firstLine="560"/>
        <w:jc w:val="both"/>
        <w:rPr>
          <w:rStyle w:val="ab"/>
          <w:rFonts w:ascii="仿宋" w:eastAsia="仿宋" w:hAnsi="仿宋" w:cs="Arial" w:hint="eastAsia"/>
          <w:i w:val="0"/>
          <w:iCs w:val="0"/>
          <w:sz w:val="28"/>
          <w:szCs w:val="28"/>
          <w:shd w:val="clear" w:color="auto" w:fill="FFFFFF"/>
        </w:rPr>
      </w:pPr>
      <w:r>
        <w:rPr>
          <w:rStyle w:val="ab"/>
          <w:rFonts w:ascii="仿宋" w:eastAsia="仿宋" w:hAnsi="仿宋" w:cs="Arial" w:hint="eastAsia"/>
          <w:i w:val="0"/>
          <w:iCs w:val="0"/>
          <w:sz w:val="28"/>
          <w:szCs w:val="28"/>
          <w:shd w:val="clear" w:color="auto" w:fill="FFFFFF"/>
        </w:rPr>
        <w:t>同时，近年来新推出的各类投融资模式，比如国家发改委《关于进一步做好政府和社会资本合作新机制项目规范实施工作的通知》（发改办投资〔</w:t>
      </w:r>
      <w:r>
        <w:rPr>
          <w:rStyle w:val="ab"/>
          <w:rFonts w:ascii="仿宋" w:eastAsia="仿宋" w:hAnsi="仿宋" w:cs="Arial"/>
          <w:i w:val="0"/>
          <w:iCs w:val="0"/>
          <w:sz w:val="28"/>
          <w:szCs w:val="28"/>
          <w:shd w:val="clear" w:color="auto" w:fill="FFFFFF"/>
        </w:rPr>
        <w:t>2024〕1013号</w:t>
      </w:r>
      <w:r>
        <w:rPr>
          <w:rStyle w:val="ab"/>
          <w:rFonts w:ascii="仿宋" w:eastAsia="仿宋" w:hAnsi="仿宋" w:cs="Arial" w:hint="eastAsia"/>
          <w:i w:val="0"/>
          <w:iCs w:val="0"/>
          <w:sz w:val="28"/>
          <w:szCs w:val="28"/>
          <w:shd w:val="clear" w:color="auto" w:fill="FFFFFF"/>
        </w:rPr>
        <w:t>）、国务院办公厅《关于规范政府和社会资本合作存量项目建设和运营的指导意见》（国办函〔</w:t>
      </w:r>
      <w:r>
        <w:rPr>
          <w:rStyle w:val="ab"/>
          <w:rFonts w:ascii="仿宋" w:eastAsia="仿宋" w:hAnsi="仿宋" w:cs="Arial"/>
          <w:i w:val="0"/>
          <w:iCs w:val="0"/>
          <w:sz w:val="28"/>
          <w:szCs w:val="28"/>
          <w:shd w:val="clear" w:color="auto" w:fill="FFFFFF"/>
        </w:rPr>
        <w:t>2025〕84号</w:t>
      </w:r>
      <w:r>
        <w:rPr>
          <w:rStyle w:val="ab"/>
          <w:rFonts w:ascii="仿宋" w:eastAsia="仿宋" w:hAnsi="仿宋" w:cs="Arial" w:hint="eastAsia"/>
          <w:i w:val="0"/>
          <w:iCs w:val="0"/>
          <w:sz w:val="28"/>
          <w:szCs w:val="28"/>
          <w:shd w:val="clear" w:color="auto" w:fill="FFFFFF"/>
        </w:rPr>
        <w:t>）、国务院办公厅《关于优化完善地方政府专项债券管理机制的意见》（国办发〔</w:t>
      </w:r>
      <w:r>
        <w:rPr>
          <w:rStyle w:val="ab"/>
          <w:rFonts w:ascii="仿宋" w:eastAsia="仿宋" w:hAnsi="仿宋" w:cs="Arial"/>
          <w:i w:val="0"/>
          <w:iCs w:val="0"/>
          <w:sz w:val="28"/>
          <w:szCs w:val="28"/>
          <w:shd w:val="clear" w:color="auto" w:fill="FFFFFF"/>
        </w:rPr>
        <w:t>2024〕52号</w:t>
      </w:r>
      <w:r>
        <w:rPr>
          <w:rStyle w:val="ab"/>
          <w:rFonts w:ascii="仿宋" w:eastAsia="仿宋" w:hAnsi="仿宋" w:cs="Arial" w:hint="eastAsia"/>
          <w:i w:val="0"/>
          <w:iCs w:val="0"/>
          <w:sz w:val="28"/>
          <w:szCs w:val="28"/>
          <w:shd w:val="clear" w:color="auto" w:fill="FFFFFF"/>
        </w:rPr>
        <w:t>）等，这些政策法规对政府投资项目谋划、债券资金申请都将产生重大影响。</w:t>
      </w:r>
      <w:r>
        <w:rPr>
          <w:rStyle w:val="ab"/>
          <w:rFonts w:ascii="仿宋" w:eastAsia="仿宋" w:hAnsi="仿宋" w:cs="Arial" w:hint="eastAsia"/>
          <w:i w:val="0"/>
          <w:iCs w:val="0"/>
          <w:sz w:val="28"/>
          <w:szCs w:val="28"/>
          <w:shd w:val="clear" w:color="auto" w:fill="FFFFFF"/>
        </w:rPr>
        <w:lastRenderedPageBreak/>
        <w:t>从重点领域来说，我国将在 “两重”“两新”、三大工程、管网建设改造、全域土地综合整治及城市更新等领域继续加强投资和政策支持力度。</w:t>
      </w:r>
    </w:p>
    <w:p w14:paraId="39ED19EC" w14:textId="77777777" w:rsidR="00F751AF" w:rsidRDefault="00000000">
      <w:pPr>
        <w:pStyle w:val="a9"/>
        <w:shd w:val="clear" w:color="auto" w:fill="FFFFFF"/>
        <w:spacing w:before="0" w:beforeAutospacing="0" w:after="0" w:afterAutospacing="0" w:line="536" w:lineRule="exact"/>
        <w:ind w:firstLine="560"/>
        <w:jc w:val="both"/>
        <w:rPr>
          <w:rFonts w:ascii="仿宋" w:eastAsia="仿宋" w:hAnsi="仿宋" w:hint="eastAsia"/>
          <w:sz w:val="28"/>
          <w:szCs w:val="28"/>
        </w:rPr>
      </w:pPr>
      <w:r>
        <w:rPr>
          <w:rFonts w:ascii="仿宋" w:eastAsia="仿宋" w:hAnsi="仿宋" w:hint="eastAsia"/>
          <w:sz w:val="28"/>
          <w:szCs w:val="28"/>
        </w:rPr>
        <w:t>此外，</w:t>
      </w:r>
      <w:r>
        <w:rPr>
          <w:rFonts w:ascii="仿宋" w:eastAsia="仿宋" w:hAnsi="仿宋"/>
          <w:sz w:val="28"/>
          <w:szCs w:val="28"/>
        </w:rPr>
        <w:t>湖北、安徽等地推出以国有“三资三化”为代表的盘活存量资产改革方案，形成全国性国有三资改革浪潮。这一以“资源资产化、资产证券化、资金杠杆化”为核心的改革路径，通过市场化手段将政府“沉睡家底”转化为“流动资本”，为地方债务风险化解提供了新路径，更推动财政模式从“土地依赖”向“资本驱动”转型，为高质量发展注入持久动能。</w:t>
      </w:r>
      <w:r>
        <w:rPr>
          <w:rFonts w:ascii="仿宋" w:eastAsia="仿宋" w:hAnsi="仿宋" w:hint="eastAsia"/>
          <w:sz w:val="28"/>
          <w:szCs w:val="28"/>
        </w:rPr>
        <w:t>按照1</w:t>
      </w:r>
      <w:r>
        <w:rPr>
          <w:rFonts w:ascii="仿宋" w:eastAsia="仿宋" w:hAnsi="仿宋"/>
          <w:sz w:val="28"/>
          <w:szCs w:val="28"/>
        </w:rPr>
        <w:t>50号文的要求，融资平台公司将于</w:t>
      </w:r>
      <w:r>
        <w:rPr>
          <w:rFonts w:ascii="仿宋" w:eastAsia="仿宋" w:hAnsi="仿宋" w:hint="eastAsia"/>
          <w:sz w:val="28"/>
          <w:szCs w:val="28"/>
        </w:rPr>
        <w:t>2</w:t>
      </w:r>
      <w:r>
        <w:rPr>
          <w:rFonts w:ascii="仿宋" w:eastAsia="仿宋" w:hAnsi="仿宋"/>
          <w:sz w:val="28"/>
          <w:szCs w:val="28"/>
        </w:rPr>
        <w:t>027年</w:t>
      </w:r>
      <w:r>
        <w:rPr>
          <w:rFonts w:ascii="仿宋" w:eastAsia="仿宋" w:hAnsi="仿宋" w:hint="eastAsia"/>
          <w:sz w:val="28"/>
          <w:szCs w:val="28"/>
        </w:rPr>
        <w:t>6月末全部实现退平台，这些政策对平台公司转型发展指明了方向。在具体实践中，如何通过国资布局重构、资源资产重构、业务发展重构、投融资重构、管理优化重构等五大工程，实现平台公司的转型发展，也是各地政府国资国企改革的重点任务。</w:t>
      </w:r>
    </w:p>
    <w:p w14:paraId="5808495A" w14:textId="77777777" w:rsidR="00F751AF" w:rsidRDefault="00000000">
      <w:pPr>
        <w:pStyle w:val="a9"/>
        <w:shd w:val="clear" w:color="auto" w:fill="FFFFFF"/>
        <w:spacing w:before="0" w:beforeAutospacing="0" w:after="0" w:afterAutospacing="0" w:line="536" w:lineRule="exact"/>
        <w:ind w:firstLine="560"/>
        <w:jc w:val="both"/>
        <w:rPr>
          <w:rFonts w:ascii="仿宋" w:eastAsia="仿宋" w:hAnsi="仿宋" w:cs="仿宋" w:hint="eastAsia"/>
          <w:sz w:val="28"/>
          <w:szCs w:val="28"/>
        </w:rPr>
      </w:pPr>
      <w:r>
        <w:rPr>
          <w:rFonts w:ascii="仿宋" w:eastAsia="仿宋" w:hAnsi="仿宋" w:cs="Arial" w:hint="eastAsia"/>
          <w:sz w:val="28"/>
          <w:szCs w:val="28"/>
          <w:shd w:val="clear" w:color="auto" w:fill="FFFFFF"/>
        </w:rPr>
        <w:t>展望2</w:t>
      </w:r>
      <w:r>
        <w:rPr>
          <w:rFonts w:ascii="仿宋" w:eastAsia="仿宋" w:hAnsi="仿宋" w:cs="Arial"/>
          <w:sz w:val="28"/>
          <w:szCs w:val="28"/>
          <w:shd w:val="clear" w:color="auto" w:fill="FFFFFF"/>
        </w:rPr>
        <w:t>026年，</w:t>
      </w:r>
      <w:r>
        <w:rPr>
          <w:rFonts w:ascii="仿宋" w:eastAsia="仿宋" w:hAnsi="仿宋" w:cs="Arial" w:hint="eastAsia"/>
          <w:sz w:val="28"/>
          <w:szCs w:val="28"/>
          <w:shd w:val="clear" w:color="auto" w:fill="FFFFFF"/>
        </w:rPr>
        <w:t>如何</w:t>
      </w:r>
      <w:r>
        <w:rPr>
          <w:rFonts w:ascii="仿宋" w:eastAsia="仿宋" w:hAnsi="仿宋" w:hint="eastAsia"/>
          <w:sz w:val="28"/>
          <w:szCs w:val="28"/>
        </w:rPr>
        <w:t>充分发挥地方政府专项债券等对重点领域和薄弱环节的投资带动作用，如何积极盘活存量资产、扩大有效融资，如何储备谋划2</w:t>
      </w:r>
      <w:r>
        <w:rPr>
          <w:rFonts w:ascii="仿宋" w:eastAsia="仿宋" w:hAnsi="仿宋"/>
          <w:sz w:val="28"/>
          <w:szCs w:val="28"/>
        </w:rPr>
        <w:t>026年投融资项目</w:t>
      </w:r>
      <w:r>
        <w:rPr>
          <w:rFonts w:ascii="仿宋" w:eastAsia="仿宋" w:hAnsi="仿宋" w:hint="eastAsia"/>
          <w:sz w:val="28"/>
          <w:szCs w:val="28"/>
        </w:rPr>
        <w:t>，是广泛关注的热点。为了帮助政府部门、中央企业、地方国有企业和金融机构等</w:t>
      </w:r>
      <w:r>
        <w:rPr>
          <w:rFonts w:ascii="仿宋" w:eastAsia="仿宋" w:hAnsi="仿宋" w:cs="仿宋"/>
          <w:spacing w:val="8"/>
          <w:sz w:val="28"/>
          <w:szCs w:val="28"/>
        </w:rPr>
        <w:t>准确把握当前各项政策导向，学习、交流和探讨当前投融资领域遇到</w:t>
      </w:r>
      <w:r>
        <w:rPr>
          <w:rFonts w:ascii="仿宋" w:eastAsia="仿宋" w:hAnsi="仿宋" w:cs="仿宋" w:hint="eastAsia"/>
          <w:spacing w:val="8"/>
          <w:sz w:val="28"/>
          <w:szCs w:val="28"/>
        </w:rPr>
        <w:t>的</w:t>
      </w:r>
      <w:r>
        <w:rPr>
          <w:rFonts w:ascii="仿宋" w:eastAsia="仿宋" w:hAnsi="仿宋" w:cs="仿宋"/>
          <w:spacing w:val="8"/>
          <w:sz w:val="28"/>
          <w:szCs w:val="28"/>
        </w:rPr>
        <w:t>难点问题并找到应对的措施</w:t>
      </w:r>
      <w:r>
        <w:rPr>
          <w:rFonts w:ascii="仿宋" w:eastAsia="仿宋" w:hAnsi="仿宋" w:cs="仿宋" w:hint="eastAsia"/>
          <w:spacing w:val="8"/>
          <w:sz w:val="28"/>
          <w:szCs w:val="28"/>
        </w:rPr>
        <w:t>，新质生产力发展促进中心</w:t>
      </w:r>
      <w:r>
        <w:rPr>
          <w:rFonts w:ascii="仿宋" w:eastAsia="仿宋" w:hAnsi="仿宋" w:hint="eastAsia"/>
          <w:sz w:val="28"/>
          <w:szCs w:val="28"/>
        </w:rPr>
        <w:t>联合北京中建科信管理咨询集团有限公司共同</w:t>
      </w:r>
      <w:r>
        <w:rPr>
          <w:rFonts w:ascii="仿宋" w:eastAsia="仿宋" w:hAnsi="仿宋" w:cs="仿宋" w:hint="eastAsia"/>
          <w:sz w:val="28"/>
          <w:szCs w:val="28"/>
        </w:rPr>
        <w:t>举办“2026年投融资优质项目储备和谋划、‘三大资金’申报，城市更新及‘三资三化’盘活存量资产高级研修班”，请各单位积极组织，报名参加。</w:t>
      </w:r>
    </w:p>
    <w:p w14:paraId="50F2DAA2" w14:textId="77777777" w:rsidR="00F751AF" w:rsidRDefault="00000000">
      <w:pPr>
        <w:pStyle w:val="a9"/>
        <w:shd w:val="clear" w:color="auto" w:fill="FFFFFF"/>
        <w:spacing w:before="0" w:beforeAutospacing="0" w:after="0" w:afterAutospacing="0" w:line="536" w:lineRule="exact"/>
        <w:ind w:firstLine="560"/>
        <w:jc w:val="both"/>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具体事项通知如下：</w:t>
      </w:r>
    </w:p>
    <w:p w14:paraId="0FBA69FF" w14:textId="77777777" w:rsidR="00F751AF" w:rsidRDefault="00000000">
      <w:pPr>
        <w:spacing w:line="536" w:lineRule="exact"/>
        <w:ind w:firstLineChars="200" w:firstLine="562"/>
        <w:jc w:val="left"/>
        <w:rPr>
          <w:rFonts w:ascii="仿宋" w:eastAsia="仿宋" w:hAnsi="仿宋" w:cs="仿宋" w:hint="eastAsia"/>
          <w:b/>
          <w:bCs/>
          <w:color w:val="000000" w:themeColor="text1"/>
          <w:sz w:val="28"/>
          <w:szCs w:val="28"/>
        </w:rPr>
      </w:pPr>
      <w:r>
        <w:rPr>
          <w:rFonts w:ascii="仿宋" w:eastAsia="仿宋" w:hAnsi="仿宋" w:cs="仿宋" w:hint="eastAsia"/>
          <w:b/>
          <w:bCs/>
          <w:color w:val="000000" w:themeColor="text1"/>
          <w:sz w:val="28"/>
          <w:szCs w:val="28"/>
        </w:rPr>
        <w:t>一、培训内容</w:t>
      </w:r>
    </w:p>
    <w:p w14:paraId="7D8119C0" w14:textId="77777777" w:rsidR="00F751AF" w:rsidRDefault="00000000">
      <w:pPr>
        <w:spacing w:line="536" w:lineRule="exact"/>
        <w:ind w:firstLineChars="200" w:firstLine="562"/>
        <w:rPr>
          <w:rFonts w:ascii="仿宋" w:eastAsia="仿宋" w:hAnsi="仿宋" w:cs="仿宋" w:hint="eastAsia"/>
          <w:b/>
          <w:bCs/>
          <w:spacing w:val="8"/>
          <w:sz w:val="28"/>
          <w:szCs w:val="28"/>
        </w:rPr>
      </w:pPr>
      <w:r>
        <w:rPr>
          <w:rFonts w:ascii="仿宋" w:eastAsia="仿宋" w:hAnsi="仿宋" w:cs="仿宋"/>
          <w:b/>
          <w:bCs/>
          <w:sz w:val="28"/>
          <w:szCs w:val="28"/>
        </w:rPr>
        <w:t>（一）</w:t>
      </w:r>
      <w:r>
        <w:rPr>
          <w:rFonts w:ascii="仿宋" w:eastAsia="仿宋" w:hAnsi="仿宋" w:cs="仿宋" w:hint="eastAsia"/>
          <w:b/>
          <w:bCs/>
          <w:sz w:val="28"/>
          <w:szCs w:val="28"/>
        </w:rPr>
        <w:t>2026年</w:t>
      </w:r>
      <w:r>
        <w:rPr>
          <w:rFonts w:ascii="仿宋" w:eastAsia="仿宋" w:hAnsi="仿宋" w:cs="仿宋" w:hint="eastAsia"/>
          <w:b/>
          <w:bCs/>
          <w:spacing w:val="8"/>
          <w:sz w:val="28"/>
          <w:szCs w:val="28"/>
        </w:rPr>
        <w:t>最新国家财政、金融和投融资政策解读</w:t>
      </w:r>
    </w:p>
    <w:p w14:paraId="5CC5CAD7"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1.中央12万亿化债政策的影响和项目投融资总体谋划策略；</w:t>
      </w:r>
    </w:p>
    <w:p w14:paraId="2B03901E"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2.二十届三中、四中全会投融资体制改革要点及财政体制改革对项目融资的影响；</w:t>
      </w:r>
    </w:p>
    <w:p w14:paraId="42BCABF6"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lastRenderedPageBreak/>
        <w:t>3.我国当前经济形势、中央最新会议精神和财政金融政策对政府投融资的影响分析；</w:t>
      </w:r>
    </w:p>
    <w:p w14:paraId="5B1DC6C5"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4.从基础设施相关领域政策（如PPP新机制、基础设施REITs、专项债、超长期特别国债等），看未来政府投融资的重点方向和区域；</w:t>
      </w:r>
    </w:p>
    <w:p w14:paraId="205F5B92"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5.审计署最新工作报告、财政部最新债务报告等对地方政府投融资的影响和审计案例分析。</w:t>
      </w:r>
    </w:p>
    <w:p w14:paraId="0548A804" w14:textId="77777777" w:rsidR="00F751AF" w:rsidRDefault="00000000">
      <w:pPr>
        <w:spacing w:line="536" w:lineRule="exact"/>
        <w:ind w:firstLineChars="200" w:firstLine="594"/>
        <w:rPr>
          <w:rFonts w:ascii="仿宋" w:eastAsia="仿宋" w:hAnsi="仿宋" w:cs="仿宋" w:hint="eastAsia"/>
          <w:b/>
          <w:bCs/>
          <w:spacing w:val="8"/>
          <w:sz w:val="28"/>
          <w:szCs w:val="28"/>
        </w:rPr>
      </w:pPr>
      <w:r>
        <w:rPr>
          <w:rFonts w:ascii="仿宋" w:eastAsia="仿宋" w:hAnsi="仿宋" w:cs="仿宋" w:hint="eastAsia"/>
          <w:b/>
          <w:bCs/>
          <w:spacing w:val="8"/>
          <w:sz w:val="28"/>
          <w:szCs w:val="28"/>
        </w:rPr>
        <w:t>（二）增量政策背景下的地方政府隐性债务防范措施</w:t>
      </w:r>
    </w:p>
    <w:p w14:paraId="4F6248DD"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1.近年以来我国政府隐性债务防范化解的政策解读；</w:t>
      </w:r>
    </w:p>
    <w:p w14:paraId="089234F5"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2.深入分析近两年财政部集中公布的隐性债务案例及对政府项目投融资的指导作用；</w:t>
      </w:r>
    </w:p>
    <w:p w14:paraId="6C065958"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3.在政府项目投融资谋划过程中防范隐性债务风险应重点关注的内容；</w:t>
      </w:r>
    </w:p>
    <w:p w14:paraId="4A9E639A"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4.在需要使用财政资金对项目进行支持时，该如何避免被认定为隐性债务。</w:t>
      </w:r>
    </w:p>
    <w:p w14:paraId="395FF4AB" w14:textId="77777777" w:rsidR="00F751AF" w:rsidRDefault="00000000">
      <w:pPr>
        <w:spacing w:line="536" w:lineRule="exact"/>
        <w:ind w:firstLineChars="200" w:firstLine="562"/>
        <w:rPr>
          <w:rFonts w:ascii="仿宋" w:eastAsia="仿宋" w:hAnsi="仿宋" w:cs="仿宋" w:hint="eastAsia"/>
          <w:color w:val="000000" w:themeColor="text1"/>
          <w:kern w:val="0"/>
          <w:sz w:val="28"/>
          <w:szCs w:val="28"/>
        </w:rPr>
      </w:pPr>
      <w:r>
        <w:rPr>
          <w:rFonts w:ascii="仿宋" w:eastAsia="仿宋" w:hAnsi="仿宋" w:cs="仿宋" w:hint="eastAsia"/>
          <w:b/>
          <w:bCs/>
          <w:color w:val="000000" w:themeColor="text1"/>
          <w:kern w:val="0"/>
          <w:sz w:val="28"/>
          <w:szCs w:val="28"/>
        </w:rPr>
        <w:t>（三）三大资金申报实务操作</w:t>
      </w:r>
      <w:r>
        <w:rPr>
          <w:rFonts w:ascii="仿宋" w:eastAsia="仿宋" w:hAnsi="仿宋" w:cs="仿宋"/>
          <w:color w:val="000000" w:themeColor="text1"/>
          <w:kern w:val="0"/>
          <w:sz w:val="28"/>
          <w:szCs w:val="28"/>
        </w:rPr>
        <w:t xml:space="preserve"> </w:t>
      </w:r>
    </w:p>
    <w:p w14:paraId="313A2947"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color w:val="000000" w:themeColor="text1"/>
          <w:kern w:val="0"/>
          <w:sz w:val="28"/>
          <w:szCs w:val="28"/>
        </w:rPr>
        <w:t>1.</w:t>
      </w:r>
      <w:r>
        <w:rPr>
          <w:rFonts w:ascii="仿宋" w:eastAsia="仿宋" w:hAnsi="仿宋" w:cs="仿宋" w:hint="eastAsia"/>
          <w:color w:val="000000" w:themeColor="text1"/>
          <w:kern w:val="0"/>
          <w:sz w:val="28"/>
          <w:szCs w:val="28"/>
        </w:rPr>
        <w:t>《国务院办公厅关于优化完善地方政府专项债券管理机制的意见》（国办发〔2024〕52号）的重点解读；</w:t>
      </w:r>
    </w:p>
    <w:p w14:paraId="1F4E4483"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2.扩大专项债券投向领域与用作项目资本金的使用方式；</w:t>
      </w:r>
    </w:p>
    <w:p w14:paraId="18A72684"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3.如何理解专项债券额度对部分地区的倾斜及收益平衡的新规定；</w:t>
      </w:r>
    </w:p>
    <w:p w14:paraId="5F7D5005"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4.部分省份下放专项债券项目审核权限带来的机遇与挑战；</w:t>
      </w:r>
    </w:p>
    <w:p w14:paraId="6573C740"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5.专项债券资金使用加强监管的具体措施；</w:t>
      </w:r>
    </w:p>
    <w:p w14:paraId="25AFD09F"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6</w:t>
      </w:r>
      <w:r>
        <w:rPr>
          <w:rFonts w:ascii="仿宋" w:eastAsia="仿宋" w:hAnsi="仿宋" w:cs="仿宋"/>
          <w:color w:val="000000" w:themeColor="text1"/>
          <w:kern w:val="0"/>
          <w:sz w:val="28"/>
          <w:szCs w:val="28"/>
        </w:rPr>
        <w:t>.如何积极储备和谋划好2026年专项债券项目</w:t>
      </w:r>
      <w:r>
        <w:rPr>
          <w:rFonts w:ascii="仿宋" w:eastAsia="仿宋" w:hAnsi="仿宋" w:cs="仿宋" w:hint="eastAsia"/>
          <w:color w:val="000000" w:themeColor="text1"/>
          <w:kern w:val="0"/>
          <w:sz w:val="28"/>
          <w:szCs w:val="28"/>
        </w:rPr>
        <w:t>；</w:t>
      </w:r>
    </w:p>
    <w:p w14:paraId="64E32C97"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7</w:t>
      </w:r>
      <w:r>
        <w:rPr>
          <w:rFonts w:ascii="仿宋" w:eastAsia="仿宋" w:hAnsi="仿宋" w:cs="仿宋"/>
          <w:color w:val="000000" w:themeColor="text1"/>
          <w:kern w:val="0"/>
          <w:sz w:val="28"/>
          <w:szCs w:val="28"/>
        </w:rPr>
        <w:t>.超长期特别国债</w:t>
      </w:r>
      <w:r>
        <w:rPr>
          <w:rFonts w:ascii="仿宋" w:eastAsia="仿宋" w:hAnsi="仿宋" w:cs="仿宋" w:hint="eastAsia"/>
          <w:color w:val="000000" w:themeColor="text1"/>
          <w:kern w:val="0"/>
          <w:sz w:val="28"/>
          <w:szCs w:val="28"/>
        </w:rPr>
        <w:t>的</w:t>
      </w:r>
      <w:r>
        <w:rPr>
          <w:rFonts w:ascii="仿宋" w:eastAsia="仿宋" w:hAnsi="仿宋" w:cs="仿宋"/>
          <w:color w:val="000000" w:themeColor="text1"/>
          <w:kern w:val="0"/>
          <w:sz w:val="28"/>
          <w:szCs w:val="28"/>
        </w:rPr>
        <w:t>概念、申报范围</w:t>
      </w:r>
      <w:r>
        <w:rPr>
          <w:rFonts w:ascii="仿宋" w:eastAsia="仿宋" w:hAnsi="仿宋" w:cs="仿宋" w:hint="eastAsia"/>
          <w:color w:val="000000" w:themeColor="text1"/>
          <w:kern w:val="0"/>
          <w:sz w:val="28"/>
          <w:szCs w:val="28"/>
        </w:rPr>
        <w:t>；</w:t>
      </w:r>
      <w:r>
        <w:rPr>
          <w:rFonts w:ascii="仿宋" w:eastAsia="仿宋" w:hAnsi="仿宋" w:cs="仿宋"/>
          <w:color w:val="000000" w:themeColor="text1"/>
          <w:kern w:val="0"/>
          <w:sz w:val="28"/>
          <w:szCs w:val="28"/>
        </w:rPr>
        <w:t xml:space="preserve"> </w:t>
      </w:r>
    </w:p>
    <w:p w14:paraId="7A328BF9"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8</w:t>
      </w:r>
      <w:r>
        <w:rPr>
          <w:rFonts w:ascii="仿宋" w:eastAsia="仿宋" w:hAnsi="仿宋" w:cs="仿宋"/>
          <w:color w:val="000000" w:themeColor="text1"/>
          <w:kern w:val="0"/>
          <w:sz w:val="28"/>
          <w:szCs w:val="28"/>
        </w:rPr>
        <w:t>.国家重大战略实施和重点领域安全能力建设的范围和领域</w:t>
      </w:r>
      <w:r>
        <w:rPr>
          <w:rFonts w:ascii="仿宋" w:eastAsia="仿宋" w:hAnsi="仿宋" w:cs="仿宋" w:hint="eastAsia"/>
          <w:color w:val="000000" w:themeColor="text1"/>
          <w:kern w:val="0"/>
          <w:sz w:val="28"/>
          <w:szCs w:val="28"/>
        </w:rPr>
        <w:t>；</w:t>
      </w:r>
      <w:r>
        <w:rPr>
          <w:rFonts w:ascii="仿宋" w:eastAsia="仿宋" w:hAnsi="仿宋" w:cs="仿宋"/>
          <w:color w:val="000000" w:themeColor="text1"/>
          <w:kern w:val="0"/>
          <w:sz w:val="28"/>
          <w:szCs w:val="28"/>
        </w:rPr>
        <w:t xml:space="preserve"> </w:t>
      </w:r>
    </w:p>
    <w:p w14:paraId="0030B79D"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9</w:t>
      </w:r>
      <w:r>
        <w:rPr>
          <w:rFonts w:ascii="仿宋" w:eastAsia="仿宋" w:hAnsi="仿宋" w:cs="仿宋"/>
          <w:color w:val="000000" w:themeColor="text1"/>
          <w:kern w:val="0"/>
          <w:sz w:val="28"/>
          <w:szCs w:val="28"/>
        </w:rPr>
        <w:t>.超长期特别国债投资五大领域的对标储备谋划</w:t>
      </w:r>
      <w:r>
        <w:rPr>
          <w:rFonts w:ascii="仿宋" w:eastAsia="仿宋" w:hAnsi="仿宋" w:cs="仿宋" w:hint="eastAsia"/>
          <w:color w:val="000000" w:themeColor="text1"/>
          <w:kern w:val="0"/>
          <w:sz w:val="28"/>
          <w:szCs w:val="28"/>
        </w:rPr>
        <w:t>；</w:t>
      </w:r>
      <w:r>
        <w:rPr>
          <w:rFonts w:ascii="仿宋" w:eastAsia="仿宋" w:hAnsi="仿宋" w:cs="仿宋"/>
          <w:color w:val="000000" w:themeColor="text1"/>
          <w:kern w:val="0"/>
          <w:sz w:val="28"/>
          <w:szCs w:val="28"/>
        </w:rPr>
        <w:t xml:space="preserve"> </w:t>
      </w:r>
    </w:p>
    <w:p w14:paraId="6800A1BA"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10</w:t>
      </w:r>
      <w:r>
        <w:rPr>
          <w:rFonts w:ascii="仿宋" w:eastAsia="仿宋" w:hAnsi="仿宋" w:cs="仿宋"/>
          <w:color w:val="000000" w:themeColor="text1"/>
          <w:kern w:val="0"/>
          <w:sz w:val="28"/>
          <w:szCs w:val="28"/>
        </w:rPr>
        <w:t>.超长期特别国债与中央预算内投资申请区别</w:t>
      </w:r>
      <w:r>
        <w:rPr>
          <w:rFonts w:ascii="仿宋" w:eastAsia="仿宋" w:hAnsi="仿宋" w:cs="仿宋" w:hint="eastAsia"/>
          <w:color w:val="000000" w:themeColor="text1"/>
          <w:kern w:val="0"/>
          <w:sz w:val="28"/>
          <w:szCs w:val="28"/>
        </w:rPr>
        <w:t>；</w:t>
      </w:r>
      <w:r>
        <w:rPr>
          <w:rFonts w:ascii="仿宋" w:eastAsia="仿宋" w:hAnsi="仿宋" w:cs="仿宋"/>
          <w:color w:val="000000" w:themeColor="text1"/>
          <w:kern w:val="0"/>
          <w:sz w:val="28"/>
          <w:szCs w:val="28"/>
        </w:rPr>
        <w:t xml:space="preserve"> </w:t>
      </w:r>
    </w:p>
    <w:p w14:paraId="7B495667"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lastRenderedPageBreak/>
        <w:t>11</w:t>
      </w:r>
      <w:r>
        <w:rPr>
          <w:rFonts w:ascii="仿宋" w:eastAsia="仿宋" w:hAnsi="仿宋" w:cs="仿宋"/>
          <w:color w:val="000000" w:themeColor="text1"/>
          <w:kern w:val="0"/>
          <w:sz w:val="28"/>
          <w:szCs w:val="28"/>
        </w:rPr>
        <w:t>.超长期特别国债申报及审批流程</w:t>
      </w:r>
      <w:r>
        <w:rPr>
          <w:rFonts w:ascii="仿宋" w:eastAsia="仿宋" w:hAnsi="仿宋" w:cs="仿宋" w:hint="eastAsia"/>
          <w:color w:val="000000" w:themeColor="text1"/>
          <w:kern w:val="0"/>
          <w:sz w:val="28"/>
          <w:szCs w:val="28"/>
        </w:rPr>
        <w:t>与</w:t>
      </w:r>
      <w:r>
        <w:rPr>
          <w:rFonts w:ascii="仿宋" w:eastAsia="仿宋" w:hAnsi="仿宋" w:cs="仿宋"/>
          <w:color w:val="000000" w:themeColor="text1"/>
          <w:kern w:val="0"/>
          <w:sz w:val="28"/>
          <w:szCs w:val="28"/>
        </w:rPr>
        <w:t>审核要点解析</w:t>
      </w:r>
      <w:r>
        <w:rPr>
          <w:rFonts w:ascii="仿宋" w:eastAsia="仿宋" w:hAnsi="仿宋" w:cs="仿宋" w:hint="eastAsia"/>
          <w:color w:val="000000" w:themeColor="text1"/>
          <w:kern w:val="0"/>
          <w:sz w:val="28"/>
          <w:szCs w:val="28"/>
        </w:rPr>
        <w:t>；</w:t>
      </w:r>
    </w:p>
    <w:p w14:paraId="4784A2FB"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12.中央预算内投资重点支持的方向和领域分析；</w:t>
      </w:r>
    </w:p>
    <w:p w14:paraId="466D50DF"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13.中央预算内投资的投资支持方式与申报要点；</w:t>
      </w:r>
    </w:p>
    <w:p w14:paraId="6AC4651C"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14.中央预算内投资与政府专项债如何结合；</w:t>
      </w:r>
    </w:p>
    <w:p w14:paraId="0B67C4CF"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15.中央预算内投资与PPP特许经营模式的结合；</w:t>
      </w:r>
    </w:p>
    <w:p w14:paraId="26F5E063"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16.如何通过中央预算内投资破解项目投融资的困境。</w:t>
      </w:r>
    </w:p>
    <w:p w14:paraId="41AE0FBB" w14:textId="77777777" w:rsidR="00F751AF" w:rsidRDefault="00000000">
      <w:pPr>
        <w:spacing w:line="536" w:lineRule="exact"/>
        <w:ind w:firstLineChars="200" w:firstLine="562"/>
        <w:rPr>
          <w:rFonts w:ascii="仿宋" w:eastAsia="仿宋" w:hAnsi="仿宋" w:cs="仿宋" w:hint="eastAsia"/>
          <w:b/>
          <w:bCs/>
          <w:color w:val="000000" w:themeColor="text1"/>
          <w:kern w:val="0"/>
          <w:sz w:val="28"/>
          <w:szCs w:val="28"/>
        </w:rPr>
      </w:pPr>
      <w:r>
        <w:rPr>
          <w:rFonts w:ascii="仿宋" w:eastAsia="仿宋" w:hAnsi="仿宋" w:cs="仿宋" w:hint="eastAsia"/>
          <w:b/>
          <w:bCs/>
          <w:color w:val="000000" w:themeColor="text1"/>
          <w:kern w:val="0"/>
          <w:sz w:val="28"/>
          <w:szCs w:val="28"/>
        </w:rPr>
        <w:t>（四）PPP新机制下的特许经营模式操作要点</w:t>
      </w:r>
    </w:p>
    <w:p w14:paraId="4D9E43A3"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1.1013号文件《关于进一步做好政府和社会资本合作新机制项目规范实施工作的通知》重点解读；</w:t>
      </w:r>
    </w:p>
    <w:p w14:paraId="4B95A1BA"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2.央国企如何在PPP新机制下与民营企业合作；</w:t>
      </w:r>
    </w:p>
    <w:p w14:paraId="466A2A6C" w14:textId="77777777" w:rsidR="00F751AF" w:rsidRDefault="00000000">
      <w:pPr>
        <w:spacing w:line="536" w:lineRule="exact"/>
        <w:ind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3.国有企业如何参与盘活资产项目；</w:t>
      </w:r>
    </w:p>
    <w:p w14:paraId="71EA4081" w14:textId="77777777" w:rsidR="00F751AF" w:rsidRDefault="00000000">
      <w:pPr>
        <w:spacing w:line="536" w:lineRule="exact"/>
        <w:ind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4.如何认识盘活存量与新建、改扩建之间的关系；</w:t>
      </w:r>
    </w:p>
    <w:p w14:paraId="42B99BCF" w14:textId="77777777" w:rsidR="00F751AF" w:rsidRDefault="00000000">
      <w:pPr>
        <w:spacing w:line="536" w:lineRule="exact"/>
        <w:ind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5.通过特许经营模式盘活存量资产的要点；</w:t>
      </w:r>
    </w:p>
    <w:p w14:paraId="659B3348" w14:textId="77777777" w:rsidR="00F751AF" w:rsidRDefault="00000000">
      <w:pPr>
        <w:spacing w:line="536" w:lineRule="exact"/>
        <w:ind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6.财政资金在特许经营项目运营期进行补贴的操作要点；</w:t>
      </w:r>
    </w:p>
    <w:p w14:paraId="0E0B3E41" w14:textId="77777777" w:rsidR="00F751AF" w:rsidRDefault="00000000">
      <w:pPr>
        <w:spacing w:line="536" w:lineRule="exact"/>
        <w:ind w:firstLineChars="200" w:firstLine="560"/>
        <w:rPr>
          <w:rFonts w:ascii="仿宋" w:eastAsia="仿宋" w:hAnsi="仿宋" w:cs="仿宋" w:hint="eastAsia"/>
          <w:kern w:val="0"/>
          <w:sz w:val="28"/>
          <w:szCs w:val="28"/>
        </w:rPr>
      </w:pPr>
      <w:r>
        <w:rPr>
          <w:rFonts w:ascii="仿宋" w:eastAsia="仿宋" w:hAnsi="仿宋" w:cs="仿宋" w:hint="eastAsia"/>
          <w:bCs/>
          <w:kern w:val="0"/>
          <w:sz w:val="28"/>
          <w:szCs w:val="28"/>
        </w:rPr>
        <w:t>7.</w:t>
      </w:r>
      <w:r>
        <w:rPr>
          <w:rFonts w:ascii="仿宋" w:eastAsia="仿宋" w:hAnsi="仿宋" w:cs="仿宋"/>
          <w:kern w:val="0"/>
          <w:sz w:val="28"/>
          <w:szCs w:val="28"/>
        </w:rPr>
        <w:t>《关于规范政府和社会资本合作存量项目建设和运营的指导意见》国办函〔2025〕84号出台的背景和存量PPP项目现状；</w:t>
      </w:r>
    </w:p>
    <w:p w14:paraId="60600912" w14:textId="77777777" w:rsidR="00F751AF" w:rsidRDefault="00000000">
      <w:pPr>
        <w:spacing w:line="536" w:lineRule="exact"/>
        <w:ind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8.如何</w:t>
      </w:r>
      <w:r>
        <w:rPr>
          <w:rFonts w:ascii="仿宋" w:eastAsia="仿宋" w:hAnsi="仿宋" w:cs="仿宋"/>
          <w:kern w:val="0"/>
          <w:sz w:val="28"/>
          <w:szCs w:val="28"/>
        </w:rPr>
        <w:t>分类分级推进实施存量在建PPP项目；</w:t>
      </w:r>
    </w:p>
    <w:p w14:paraId="5F48DFFD" w14:textId="77777777" w:rsidR="00F751AF" w:rsidRDefault="00000000">
      <w:pPr>
        <w:spacing w:line="536" w:lineRule="exact"/>
        <w:ind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9.</w:t>
      </w:r>
      <w:r>
        <w:rPr>
          <w:rFonts w:ascii="仿宋" w:eastAsia="仿宋" w:hAnsi="仿宋" w:cs="仿宋"/>
          <w:kern w:val="0"/>
          <w:sz w:val="28"/>
          <w:szCs w:val="28"/>
        </w:rPr>
        <w:t>存量PPP项目的合理融资</w:t>
      </w:r>
      <w:r>
        <w:rPr>
          <w:rFonts w:ascii="仿宋" w:eastAsia="仿宋" w:hAnsi="仿宋" w:cs="仿宋" w:hint="eastAsia"/>
          <w:kern w:val="0"/>
          <w:sz w:val="28"/>
          <w:szCs w:val="28"/>
        </w:rPr>
        <w:t>方式。</w:t>
      </w:r>
    </w:p>
    <w:p w14:paraId="09C5CEB2" w14:textId="77777777" w:rsidR="00F751AF" w:rsidRDefault="00000000">
      <w:pPr>
        <w:spacing w:line="536" w:lineRule="exact"/>
        <w:ind w:firstLineChars="200" w:firstLine="562"/>
        <w:rPr>
          <w:rFonts w:ascii="仿宋" w:eastAsia="仿宋" w:hAnsi="仿宋" w:cs="仿宋" w:hint="eastAsia"/>
          <w:b/>
          <w:bCs/>
          <w:color w:val="000000" w:themeColor="text1"/>
          <w:kern w:val="0"/>
          <w:sz w:val="28"/>
          <w:szCs w:val="28"/>
        </w:rPr>
      </w:pPr>
      <w:r>
        <w:rPr>
          <w:rFonts w:ascii="仿宋" w:eastAsia="仿宋" w:hAnsi="仿宋" w:cs="仿宋" w:hint="eastAsia"/>
          <w:b/>
          <w:bCs/>
          <w:color w:val="000000" w:themeColor="text1"/>
          <w:kern w:val="0"/>
          <w:sz w:val="28"/>
          <w:szCs w:val="28"/>
        </w:rPr>
        <w:t>（五）增量政策背景下的存量资产盘活</w:t>
      </w:r>
    </w:p>
    <w:p w14:paraId="049737B8"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1.通过TOT模式盘活存量资产的核心要点；</w:t>
      </w:r>
    </w:p>
    <w:p w14:paraId="38413209"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2.通过非PPP模式盘活政府公益性资产；</w:t>
      </w:r>
    </w:p>
    <w:p w14:paraId="382952D8"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3.国家发改委第二批盘活存量资产案例分析；</w:t>
      </w:r>
    </w:p>
    <w:p w14:paraId="245BFE90"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4.国家发改委1013号文对采用PPP模式盘活存量资产的新政策要点；</w:t>
      </w:r>
    </w:p>
    <w:p w14:paraId="7841A8D6"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5.如何盘活行政事业单位的存量资产及案例分析；</w:t>
      </w:r>
    </w:p>
    <w:p w14:paraId="09F7015F"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6.通过收购兼并、破产重整等方式盘活存量资产案例分析；</w:t>
      </w:r>
    </w:p>
    <w:p w14:paraId="63FC5514" w14:textId="77777777" w:rsidR="00F751AF" w:rsidRDefault="00000000">
      <w:pPr>
        <w:spacing w:line="536" w:lineRule="exact"/>
        <w:ind w:firstLineChars="200" w:firstLine="560"/>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7.基础设施REITs的操作实务。</w:t>
      </w:r>
    </w:p>
    <w:p w14:paraId="6258C99D" w14:textId="77777777" w:rsidR="00F751AF" w:rsidRDefault="00000000">
      <w:pPr>
        <w:spacing w:line="536" w:lineRule="exact"/>
        <w:ind w:firstLineChars="200" w:firstLine="594"/>
        <w:rPr>
          <w:rFonts w:ascii="仿宋" w:eastAsia="仿宋" w:hAnsi="仿宋" w:cs="仿宋" w:hint="eastAsia"/>
          <w:b/>
          <w:bCs/>
          <w:spacing w:val="8"/>
          <w:sz w:val="28"/>
          <w:szCs w:val="28"/>
        </w:rPr>
      </w:pPr>
      <w:r>
        <w:rPr>
          <w:rFonts w:ascii="仿宋" w:eastAsia="仿宋" w:hAnsi="仿宋" w:cs="仿宋"/>
          <w:b/>
          <w:bCs/>
          <w:spacing w:val="8"/>
          <w:sz w:val="28"/>
          <w:szCs w:val="28"/>
        </w:rPr>
        <w:lastRenderedPageBreak/>
        <w:t>（</w:t>
      </w:r>
      <w:r>
        <w:rPr>
          <w:rFonts w:ascii="仿宋" w:eastAsia="仿宋" w:hAnsi="仿宋" w:cs="仿宋" w:hint="eastAsia"/>
          <w:b/>
          <w:bCs/>
          <w:spacing w:val="8"/>
          <w:sz w:val="28"/>
          <w:szCs w:val="28"/>
        </w:rPr>
        <w:t>六</w:t>
      </w:r>
      <w:r>
        <w:rPr>
          <w:rFonts w:ascii="仿宋" w:eastAsia="仿宋" w:hAnsi="仿宋" w:cs="仿宋"/>
          <w:b/>
          <w:bCs/>
          <w:spacing w:val="8"/>
          <w:sz w:val="28"/>
          <w:szCs w:val="28"/>
        </w:rPr>
        <w:t>）</w:t>
      </w:r>
      <w:r>
        <w:rPr>
          <w:rFonts w:ascii="仿宋" w:eastAsia="仿宋" w:hAnsi="仿宋" w:cs="仿宋" w:hint="eastAsia"/>
          <w:b/>
          <w:bCs/>
          <w:spacing w:val="8"/>
          <w:sz w:val="28"/>
          <w:szCs w:val="28"/>
        </w:rPr>
        <w:t>盘活存量土地的重点领域和案例分析</w:t>
      </w:r>
    </w:p>
    <w:p w14:paraId="033B74B7"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1.如何通过提高容积率盘活工业用地；</w:t>
      </w:r>
    </w:p>
    <w:p w14:paraId="1AF93A71"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2.“工业上楼”的政策、应用要点与实践案例分析；</w:t>
      </w:r>
    </w:p>
    <w:p w14:paraId="6643D01A"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3.利用工业用地建设宿舍型保障性租赁住房的案例分析；</w:t>
      </w:r>
    </w:p>
    <w:p w14:paraId="52935820"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4.国有企业通过自主、联营、转让等多种方式推进存量土地的改造开发的应用要点及案例分析；</w:t>
      </w:r>
    </w:p>
    <w:p w14:paraId="79A8A5ED"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5.探索难以独立开发的零星地块的使用方式及相关案例；</w:t>
      </w:r>
    </w:p>
    <w:p w14:paraId="55F2814A"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6.原土地使用权人自行改造开发的案例分析；</w:t>
      </w:r>
    </w:p>
    <w:p w14:paraId="5356C807"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7.不同用途地块混合供应的案例分析</w:t>
      </w:r>
      <w:r>
        <w:rPr>
          <w:rFonts w:ascii="仿宋" w:eastAsia="仿宋" w:hAnsi="仿宋" w:cs="仿宋"/>
          <w:spacing w:val="8"/>
          <w:sz w:val="28"/>
          <w:szCs w:val="28"/>
        </w:rPr>
        <w:t>。</w:t>
      </w:r>
    </w:p>
    <w:p w14:paraId="43448DB5" w14:textId="77777777" w:rsidR="00F751AF" w:rsidRDefault="00000000">
      <w:pPr>
        <w:spacing w:line="536" w:lineRule="exact"/>
        <w:ind w:firstLineChars="200" w:firstLine="594"/>
        <w:rPr>
          <w:rFonts w:ascii="仿宋" w:eastAsia="仿宋" w:hAnsi="仿宋" w:cs="仿宋" w:hint="eastAsia"/>
          <w:b/>
          <w:bCs/>
          <w:spacing w:val="8"/>
          <w:sz w:val="28"/>
          <w:szCs w:val="28"/>
        </w:rPr>
      </w:pPr>
      <w:r>
        <w:rPr>
          <w:rFonts w:ascii="仿宋" w:eastAsia="仿宋" w:hAnsi="仿宋" w:cs="仿宋" w:hint="eastAsia"/>
          <w:b/>
          <w:bCs/>
          <w:spacing w:val="8"/>
          <w:sz w:val="28"/>
          <w:szCs w:val="28"/>
        </w:rPr>
        <w:t>（七）城市更新项目谋划与投融资模式分析</w:t>
      </w:r>
    </w:p>
    <w:p w14:paraId="37FD3870"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1.关于城市更新的最新政策分析；</w:t>
      </w:r>
    </w:p>
    <w:p w14:paraId="086AF8CF"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2.新一轮城市更新行动八项重点任务详解；</w:t>
      </w:r>
    </w:p>
    <w:p w14:paraId="0AD7C1B1"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3.多元化投融资方式支持城市更新的路径和实务操作；</w:t>
      </w:r>
    </w:p>
    <w:p w14:paraId="122E6863"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4.老旧街区、厂区改造的特别与投融资模式案例分析；</w:t>
      </w:r>
    </w:p>
    <w:p w14:paraId="19676393"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5.轻资产改造模式案例分析。</w:t>
      </w:r>
    </w:p>
    <w:p w14:paraId="2E63CE6D" w14:textId="77777777" w:rsidR="00F751AF" w:rsidRDefault="00000000">
      <w:pPr>
        <w:spacing w:line="536" w:lineRule="exact"/>
        <w:ind w:firstLineChars="200" w:firstLine="594"/>
        <w:rPr>
          <w:rFonts w:ascii="仿宋" w:eastAsia="仿宋" w:hAnsi="仿宋" w:cs="仿宋" w:hint="eastAsia"/>
          <w:b/>
          <w:bCs/>
          <w:spacing w:val="8"/>
          <w:sz w:val="28"/>
          <w:szCs w:val="28"/>
        </w:rPr>
      </w:pPr>
      <w:r>
        <w:rPr>
          <w:rFonts w:ascii="仿宋" w:eastAsia="仿宋" w:hAnsi="仿宋" w:cs="仿宋" w:hint="eastAsia"/>
          <w:b/>
          <w:bCs/>
          <w:spacing w:val="8"/>
          <w:sz w:val="28"/>
          <w:szCs w:val="28"/>
        </w:rPr>
        <w:t>（八）重大产业投资项目的投融资谋划和决策分析</w:t>
      </w:r>
    </w:p>
    <w:p w14:paraId="45F30523"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1.国内产业投资经典案例分析；</w:t>
      </w:r>
    </w:p>
    <w:p w14:paraId="1718EBE1"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2.股权类投资的可行性研究、决策分析等合规流程解析；</w:t>
      </w:r>
    </w:p>
    <w:p w14:paraId="321DDA40"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3.产业规划+招商+金融+资源导入的全流程解决方案分析。</w:t>
      </w:r>
    </w:p>
    <w:p w14:paraId="3E4A95FA" w14:textId="77777777" w:rsidR="00F751AF" w:rsidRDefault="00000000">
      <w:pPr>
        <w:spacing w:line="536" w:lineRule="exact"/>
        <w:ind w:firstLineChars="200" w:firstLine="594"/>
        <w:rPr>
          <w:rFonts w:ascii="仿宋" w:eastAsia="仿宋" w:hAnsi="仿宋" w:cs="仿宋" w:hint="eastAsia"/>
          <w:b/>
          <w:bCs/>
          <w:spacing w:val="8"/>
          <w:sz w:val="28"/>
          <w:szCs w:val="28"/>
        </w:rPr>
      </w:pPr>
      <w:r>
        <w:rPr>
          <w:rFonts w:ascii="仿宋" w:eastAsia="仿宋" w:hAnsi="仿宋" w:cs="仿宋" w:hint="eastAsia"/>
          <w:b/>
          <w:bCs/>
          <w:spacing w:val="8"/>
          <w:sz w:val="28"/>
          <w:szCs w:val="28"/>
        </w:rPr>
        <w:t>（九）150文背景下的平台公司转型发展</w:t>
      </w:r>
    </w:p>
    <w:p w14:paraId="4E6871A9"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1.平台公司的退出标准与流程；</w:t>
      </w:r>
    </w:p>
    <w:p w14:paraId="17DD3212" w14:textId="77777777" w:rsidR="00F751AF" w:rsidRDefault="00000000">
      <w:pPr>
        <w:spacing w:line="536" w:lineRule="exact"/>
        <w:ind w:firstLineChars="200" w:firstLine="592"/>
        <w:rPr>
          <w:rFonts w:ascii="仿宋" w:eastAsia="仿宋" w:hAnsi="仿宋" w:cs="仿宋" w:hint="eastAsia"/>
          <w:spacing w:val="8"/>
          <w:sz w:val="28"/>
          <w:szCs w:val="28"/>
        </w:rPr>
      </w:pPr>
      <w:r>
        <w:rPr>
          <w:rFonts w:ascii="仿宋" w:eastAsia="仿宋" w:hAnsi="仿宋" w:cs="仿宋" w:hint="eastAsia"/>
          <w:spacing w:val="8"/>
          <w:sz w:val="28"/>
          <w:szCs w:val="28"/>
        </w:rPr>
        <w:t>2.平台公司转型过程中，金融债权等的处置方式；</w:t>
      </w:r>
    </w:p>
    <w:p w14:paraId="1BD68F91" w14:textId="77777777" w:rsidR="00F751AF" w:rsidRDefault="00000000">
      <w:pPr>
        <w:spacing w:line="536" w:lineRule="exact"/>
        <w:ind w:leftChars="200" w:left="420"/>
        <w:rPr>
          <w:rFonts w:ascii="仿宋" w:eastAsia="仿宋" w:hAnsi="仿宋" w:cs="仿宋" w:hint="eastAsia"/>
          <w:spacing w:val="8"/>
          <w:sz w:val="28"/>
          <w:szCs w:val="28"/>
        </w:rPr>
      </w:pPr>
      <w:r>
        <w:rPr>
          <w:rFonts w:ascii="仿宋" w:eastAsia="仿宋" w:hAnsi="仿宋" w:cs="仿宋" w:hint="eastAsia"/>
          <w:spacing w:val="8"/>
          <w:sz w:val="28"/>
          <w:szCs w:val="28"/>
        </w:rPr>
        <w:t xml:space="preserve"> 3.转型成为城市综合运营服务商的案例分析；</w:t>
      </w:r>
    </w:p>
    <w:p w14:paraId="114E7BE7" w14:textId="77777777" w:rsidR="00F751AF" w:rsidRDefault="00000000">
      <w:pPr>
        <w:spacing w:line="536" w:lineRule="exact"/>
        <w:ind w:leftChars="200" w:left="420"/>
        <w:rPr>
          <w:rFonts w:ascii="仿宋" w:eastAsia="仿宋" w:hAnsi="仿宋" w:cs="仿宋" w:hint="eastAsia"/>
          <w:spacing w:val="8"/>
          <w:sz w:val="28"/>
          <w:szCs w:val="28"/>
        </w:rPr>
      </w:pPr>
      <w:r>
        <w:rPr>
          <w:rFonts w:ascii="仿宋" w:eastAsia="仿宋" w:hAnsi="仿宋" w:cs="仿宋" w:hint="eastAsia"/>
          <w:spacing w:val="8"/>
          <w:sz w:val="28"/>
          <w:szCs w:val="28"/>
        </w:rPr>
        <w:t xml:space="preserve"> 4.转型成为产业投资商的案例分析；</w:t>
      </w:r>
    </w:p>
    <w:p w14:paraId="0AF418AD" w14:textId="77777777" w:rsidR="00F751AF" w:rsidRDefault="00000000">
      <w:pPr>
        <w:spacing w:line="536" w:lineRule="exact"/>
        <w:ind w:leftChars="200" w:left="420"/>
        <w:rPr>
          <w:rFonts w:ascii="仿宋" w:eastAsia="仿宋" w:hAnsi="仿宋" w:cs="仿宋" w:hint="eastAsia"/>
          <w:spacing w:val="8"/>
          <w:sz w:val="28"/>
          <w:szCs w:val="28"/>
        </w:rPr>
      </w:pPr>
      <w:r>
        <w:rPr>
          <w:rFonts w:ascii="仿宋" w:eastAsia="仿宋" w:hAnsi="仿宋" w:cs="仿宋" w:hint="eastAsia"/>
          <w:spacing w:val="8"/>
          <w:sz w:val="28"/>
          <w:szCs w:val="28"/>
        </w:rPr>
        <w:t xml:space="preserve"> 5.转型成为数字运营服务商的案例分析；</w:t>
      </w:r>
    </w:p>
    <w:p w14:paraId="51634A76" w14:textId="77777777" w:rsidR="00F751AF" w:rsidRDefault="00000000">
      <w:pPr>
        <w:spacing w:line="536" w:lineRule="exact"/>
        <w:ind w:leftChars="200" w:left="420"/>
        <w:rPr>
          <w:rFonts w:ascii="仿宋" w:eastAsia="仿宋" w:hAnsi="仿宋" w:cs="仿宋" w:hint="eastAsia"/>
          <w:spacing w:val="8"/>
          <w:sz w:val="28"/>
          <w:szCs w:val="28"/>
        </w:rPr>
      </w:pPr>
      <w:r>
        <w:rPr>
          <w:rFonts w:ascii="仿宋" w:eastAsia="仿宋" w:hAnsi="仿宋" w:cs="仿宋" w:hint="eastAsia"/>
          <w:spacing w:val="8"/>
          <w:sz w:val="28"/>
          <w:szCs w:val="28"/>
        </w:rPr>
        <w:t xml:space="preserve"> 6.产业基金的运作方式与案例分析。</w:t>
      </w:r>
    </w:p>
    <w:p w14:paraId="692C71BF" w14:textId="77777777" w:rsidR="00F751AF" w:rsidRDefault="00000000">
      <w:pPr>
        <w:spacing w:line="536" w:lineRule="exact"/>
        <w:ind w:firstLineChars="200" w:firstLine="562"/>
        <w:rPr>
          <w:rFonts w:ascii="仿宋" w:eastAsia="仿宋" w:hAnsi="仿宋" w:cs="仿宋" w:hint="eastAsia"/>
          <w:b/>
          <w:bCs/>
          <w:color w:val="000000" w:themeColor="text1"/>
          <w:sz w:val="28"/>
          <w:szCs w:val="28"/>
        </w:rPr>
      </w:pPr>
      <w:r>
        <w:rPr>
          <w:rFonts w:ascii="仿宋" w:eastAsia="仿宋" w:hAnsi="仿宋" w:cs="仿宋" w:hint="eastAsia"/>
          <w:b/>
          <w:bCs/>
          <w:color w:val="000000" w:themeColor="text1"/>
          <w:sz w:val="28"/>
          <w:szCs w:val="28"/>
        </w:rPr>
        <w:lastRenderedPageBreak/>
        <w:t>二</w:t>
      </w:r>
      <w:r>
        <w:rPr>
          <w:rFonts w:ascii="仿宋" w:eastAsia="仿宋" w:hAnsi="仿宋" w:cs="仿宋"/>
          <w:b/>
          <w:bCs/>
          <w:color w:val="000000" w:themeColor="text1"/>
          <w:sz w:val="28"/>
          <w:szCs w:val="28"/>
        </w:rPr>
        <w:t>、培训对象</w:t>
      </w:r>
    </w:p>
    <w:p w14:paraId="6914A744" w14:textId="77777777" w:rsidR="00F751AF" w:rsidRDefault="00000000">
      <w:pPr>
        <w:spacing w:line="536" w:lineRule="exact"/>
        <w:ind w:firstLineChars="200" w:firstLine="560"/>
        <w:rPr>
          <w:rFonts w:ascii="仿宋" w:eastAsia="仿宋" w:hAnsi="仿宋" w:cs="仿宋" w:hint="eastAsia"/>
          <w:bCs/>
          <w:color w:val="000000" w:themeColor="text1"/>
          <w:sz w:val="28"/>
          <w:szCs w:val="28"/>
        </w:rPr>
      </w:pPr>
      <w:r>
        <w:rPr>
          <w:rFonts w:ascii="仿宋" w:eastAsia="仿宋" w:hAnsi="仿宋" w:cs="仿宋"/>
          <w:bCs/>
          <w:color w:val="000000" w:themeColor="text1"/>
          <w:sz w:val="28"/>
          <w:szCs w:val="28"/>
        </w:rPr>
        <w:t>各级</w:t>
      </w:r>
      <w:r>
        <w:rPr>
          <w:rFonts w:ascii="仿宋" w:eastAsia="仿宋" w:hAnsi="仿宋" w:cs="仿宋" w:hint="eastAsia"/>
          <w:bCs/>
          <w:color w:val="000000" w:themeColor="text1"/>
          <w:sz w:val="28"/>
          <w:szCs w:val="28"/>
        </w:rPr>
        <w:t>政府发展改革</w:t>
      </w:r>
      <w:r>
        <w:rPr>
          <w:rFonts w:ascii="仿宋" w:eastAsia="仿宋" w:hAnsi="仿宋" w:cs="仿宋"/>
          <w:bCs/>
          <w:color w:val="000000" w:themeColor="text1"/>
          <w:sz w:val="28"/>
          <w:szCs w:val="28"/>
        </w:rPr>
        <w:t>、财政、环保、住建、交通</w:t>
      </w:r>
      <w:r>
        <w:rPr>
          <w:rFonts w:ascii="仿宋" w:eastAsia="仿宋" w:hAnsi="仿宋" w:cs="仿宋" w:hint="eastAsia"/>
          <w:bCs/>
          <w:color w:val="000000" w:themeColor="text1"/>
          <w:sz w:val="28"/>
          <w:szCs w:val="28"/>
        </w:rPr>
        <w:t>运输</w:t>
      </w:r>
      <w:r>
        <w:rPr>
          <w:rFonts w:ascii="仿宋" w:eastAsia="仿宋" w:hAnsi="仿宋" w:cs="仿宋"/>
          <w:bCs/>
          <w:color w:val="000000" w:themeColor="text1"/>
          <w:sz w:val="28"/>
          <w:szCs w:val="28"/>
        </w:rPr>
        <w:t>、水利、农业</w:t>
      </w:r>
      <w:r>
        <w:rPr>
          <w:rFonts w:ascii="仿宋" w:eastAsia="仿宋" w:hAnsi="仿宋" w:cs="仿宋" w:hint="eastAsia"/>
          <w:bCs/>
          <w:color w:val="000000" w:themeColor="text1"/>
          <w:sz w:val="28"/>
          <w:szCs w:val="28"/>
        </w:rPr>
        <w:t>农村</w:t>
      </w:r>
      <w:r>
        <w:rPr>
          <w:rFonts w:ascii="仿宋" w:eastAsia="仿宋" w:hAnsi="仿宋" w:cs="仿宋"/>
          <w:bCs/>
          <w:color w:val="000000" w:themeColor="text1"/>
          <w:sz w:val="28"/>
          <w:szCs w:val="28"/>
        </w:rPr>
        <w:t>、林草、文旅等部门</w:t>
      </w:r>
      <w:r>
        <w:rPr>
          <w:rFonts w:ascii="仿宋" w:eastAsia="仿宋" w:hAnsi="仿宋" w:cs="仿宋" w:hint="eastAsia"/>
          <w:bCs/>
          <w:color w:val="000000" w:themeColor="text1"/>
          <w:sz w:val="28"/>
          <w:szCs w:val="28"/>
        </w:rPr>
        <w:t>有关</w:t>
      </w:r>
      <w:r>
        <w:rPr>
          <w:rFonts w:ascii="仿宋" w:eastAsia="仿宋" w:hAnsi="仿宋" w:cs="仿宋"/>
          <w:bCs/>
          <w:color w:val="000000" w:themeColor="text1"/>
          <w:sz w:val="28"/>
          <w:szCs w:val="28"/>
        </w:rPr>
        <w:t>人员；</w:t>
      </w:r>
      <w:r>
        <w:rPr>
          <w:rFonts w:ascii="仿宋" w:eastAsia="仿宋" w:hAnsi="仿宋" w:cs="仿宋" w:hint="eastAsia"/>
          <w:bCs/>
          <w:color w:val="000000" w:themeColor="text1"/>
          <w:sz w:val="28"/>
          <w:szCs w:val="28"/>
        </w:rPr>
        <w:t>以</w:t>
      </w:r>
      <w:r>
        <w:rPr>
          <w:rFonts w:ascii="仿宋" w:eastAsia="仿宋" w:hAnsi="仿宋" w:cs="仿宋"/>
          <w:bCs/>
          <w:color w:val="000000" w:themeColor="text1"/>
          <w:sz w:val="28"/>
          <w:szCs w:val="28"/>
        </w:rPr>
        <w:t>城投公司</w:t>
      </w:r>
      <w:r>
        <w:rPr>
          <w:rFonts w:ascii="仿宋" w:eastAsia="仿宋" w:hAnsi="仿宋" w:cs="仿宋" w:hint="eastAsia"/>
          <w:bCs/>
          <w:color w:val="000000" w:themeColor="text1"/>
          <w:sz w:val="28"/>
          <w:szCs w:val="28"/>
        </w:rPr>
        <w:t>为代表的地方国有企业有关人员；</w:t>
      </w:r>
      <w:r>
        <w:rPr>
          <w:rFonts w:ascii="仿宋" w:eastAsia="仿宋" w:hAnsi="仿宋" w:cs="仿宋"/>
          <w:bCs/>
          <w:color w:val="000000" w:themeColor="text1"/>
          <w:sz w:val="28"/>
          <w:szCs w:val="28"/>
        </w:rPr>
        <w:t>污水垃圾处理、</w:t>
      </w:r>
      <w:r>
        <w:rPr>
          <w:rFonts w:ascii="仿宋" w:eastAsia="仿宋" w:hAnsi="仿宋" w:cs="仿宋" w:hint="eastAsia"/>
          <w:bCs/>
          <w:color w:val="000000" w:themeColor="text1"/>
          <w:sz w:val="28"/>
          <w:szCs w:val="28"/>
        </w:rPr>
        <w:t>城乡</w:t>
      </w:r>
      <w:r>
        <w:rPr>
          <w:rFonts w:ascii="仿宋" w:eastAsia="仿宋" w:hAnsi="仿宋" w:cs="仿宋"/>
          <w:bCs/>
          <w:color w:val="000000" w:themeColor="text1"/>
          <w:sz w:val="28"/>
          <w:szCs w:val="28"/>
        </w:rPr>
        <w:t>供水供气供热、仓储物流、新能源、环保及建筑施工等企业</w:t>
      </w:r>
      <w:r>
        <w:rPr>
          <w:rFonts w:ascii="仿宋" w:eastAsia="仿宋" w:hAnsi="仿宋" w:cs="仿宋" w:hint="eastAsia"/>
          <w:bCs/>
          <w:color w:val="000000" w:themeColor="text1"/>
          <w:sz w:val="28"/>
          <w:szCs w:val="28"/>
        </w:rPr>
        <w:t>有关</w:t>
      </w:r>
      <w:r>
        <w:rPr>
          <w:rFonts w:ascii="仿宋" w:eastAsia="仿宋" w:hAnsi="仿宋" w:cs="仿宋"/>
          <w:bCs/>
          <w:color w:val="000000" w:themeColor="text1"/>
          <w:sz w:val="28"/>
          <w:szCs w:val="28"/>
        </w:rPr>
        <w:t>人员；银行、证券、基金、信托、保险等金融机构</w:t>
      </w:r>
      <w:r>
        <w:rPr>
          <w:rFonts w:ascii="仿宋" w:eastAsia="仿宋" w:hAnsi="仿宋" w:cs="仿宋" w:hint="eastAsia"/>
          <w:bCs/>
          <w:color w:val="000000" w:themeColor="text1"/>
          <w:sz w:val="28"/>
          <w:szCs w:val="28"/>
        </w:rPr>
        <w:t>有关</w:t>
      </w:r>
      <w:r>
        <w:rPr>
          <w:rFonts w:ascii="仿宋" w:eastAsia="仿宋" w:hAnsi="仿宋" w:cs="仿宋"/>
          <w:bCs/>
          <w:color w:val="000000" w:themeColor="text1"/>
          <w:sz w:val="28"/>
          <w:szCs w:val="28"/>
        </w:rPr>
        <w:t>人员</w:t>
      </w:r>
      <w:r>
        <w:rPr>
          <w:rFonts w:ascii="仿宋" w:eastAsia="仿宋" w:hAnsi="仿宋" w:cs="仿宋" w:hint="eastAsia"/>
          <w:bCs/>
          <w:color w:val="000000" w:themeColor="text1"/>
          <w:sz w:val="28"/>
          <w:szCs w:val="28"/>
        </w:rPr>
        <w:t>等</w:t>
      </w:r>
      <w:r>
        <w:rPr>
          <w:rFonts w:ascii="仿宋" w:eastAsia="仿宋" w:hAnsi="仿宋" w:cs="仿宋"/>
          <w:bCs/>
          <w:color w:val="000000" w:themeColor="text1"/>
          <w:sz w:val="28"/>
          <w:szCs w:val="28"/>
        </w:rPr>
        <w:t>。</w:t>
      </w:r>
    </w:p>
    <w:p w14:paraId="5861D7B5" w14:textId="77777777" w:rsidR="00F751AF" w:rsidRDefault="00000000">
      <w:pPr>
        <w:spacing w:line="536" w:lineRule="exact"/>
        <w:ind w:firstLineChars="200" w:firstLine="562"/>
        <w:rPr>
          <w:rFonts w:ascii="仿宋" w:eastAsia="仿宋" w:hAnsi="仿宋" w:cs="仿宋" w:hint="eastAsia"/>
          <w:b/>
          <w:bCs/>
          <w:color w:val="000000" w:themeColor="text1"/>
          <w:sz w:val="28"/>
          <w:szCs w:val="28"/>
        </w:rPr>
      </w:pPr>
      <w:r>
        <w:rPr>
          <w:rFonts w:ascii="仿宋" w:eastAsia="仿宋" w:hAnsi="仿宋" w:cs="仿宋" w:hint="eastAsia"/>
          <w:b/>
          <w:bCs/>
          <w:color w:val="000000" w:themeColor="text1"/>
          <w:sz w:val="28"/>
          <w:szCs w:val="28"/>
        </w:rPr>
        <w:t>三</w:t>
      </w:r>
      <w:r>
        <w:rPr>
          <w:rFonts w:ascii="仿宋" w:eastAsia="仿宋" w:hAnsi="仿宋" w:cs="仿宋"/>
          <w:b/>
          <w:bCs/>
          <w:color w:val="000000" w:themeColor="text1"/>
          <w:sz w:val="28"/>
          <w:szCs w:val="28"/>
        </w:rPr>
        <w:t>、</w:t>
      </w:r>
      <w:r>
        <w:rPr>
          <w:rFonts w:ascii="仿宋" w:eastAsia="仿宋" w:hAnsi="仿宋" w:cs="仿宋" w:hint="eastAsia"/>
          <w:b/>
          <w:bCs/>
          <w:color w:val="000000" w:themeColor="text1"/>
          <w:sz w:val="28"/>
          <w:szCs w:val="28"/>
        </w:rPr>
        <w:t>拟邀师资</w:t>
      </w:r>
    </w:p>
    <w:p w14:paraId="3C9D2C32" w14:textId="77777777" w:rsidR="00F751AF" w:rsidRDefault="00000000">
      <w:pPr>
        <w:spacing w:line="536" w:lineRule="exact"/>
        <w:ind w:firstLineChars="200" w:firstLine="562"/>
        <w:rPr>
          <w:rFonts w:ascii="仿宋" w:eastAsia="仿宋" w:hAnsi="仿宋" w:cs="仿宋" w:hint="eastAsia"/>
          <w:b/>
          <w:bCs/>
          <w:color w:val="000000" w:themeColor="text1"/>
          <w:sz w:val="28"/>
          <w:szCs w:val="28"/>
        </w:rPr>
      </w:pPr>
      <w:r>
        <w:rPr>
          <w:rFonts w:ascii="仿宋" w:eastAsia="仿宋" w:hAnsi="仿宋" w:cs="仿宋" w:hint="eastAsia"/>
          <w:b/>
          <w:bCs/>
          <w:color w:val="000000" w:themeColor="text1"/>
          <w:sz w:val="28"/>
          <w:szCs w:val="28"/>
        </w:rPr>
        <w:t>林晓东：</w:t>
      </w:r>
      <w:r>
        <w:rPr>
          <w:rFonts w:ascii="仿宋" w:eastAsia="仿宋" w:hAnsi="仿宋" w:cs="仿宋" w:hint="eastAsia"/>
          <w:bCs/>
          <w:color w:val="000000" w:themeColor="text1"/>
          <w:sz w:val="28"/>
          <w:szCs w:val="28"/>
        </w:rPr>
        <w:t>中国经济体制改革研究会理事、特聘授课专家，中国投资协会项目投融资专委会特聘专家、大成律师事务所合伙人。</w:t>
      </w:r>
    </w:p>
    <w:p w14:paraId="74B55426" w14:textId="77777777" w:rsidR="00F751AF" w:rsidRDefault="00000000">
      <w:pPr>
        <w:widowControl/>
        <w:spacing w:line="536" w:lineRule="exact"/>
        <w:ind w:firstLineChars="200" w:firstLine="562"/>
        <w:rPr>
          <w:rFonts w:ascii="仿宋" w:eastAsia="仿宋" w:hAnsi="仿宋" w:cs="仿宋" w:hint="eastAsia"/>
          <w:bCs/>
          <w:color w:val="000000" w:themeColor="text1"/>
          <w:sz w:val="28"/>
          <w:szCs w:val="28"/>
        </w:rPr>
      </w:pPr>
      <w:r>
        <w:rPr>
          <w:rFonts w:ascii="仿宋" w:eastAsia="仿宋" w:hAnsi="仿宋" w:cs="仿宋" w:hint="eastAsia"/>
          <w:b/>
          <w:bCs/>
          <w:color w:val="000000" w:themeColor="text1"/>
          <w:sz w:val="28"/>
          <w:szCs w:val="28"/>
        </w:rPr>
        <w:t>王小文：</w:t>
      </w:r>
      <w:r>
        <w:rPr>
          <w:rFonts w:ascii="仿宋" w:eastAsia="仿宋" w:hAnsi="仿宋" w:cs="仿宋" w:hint="eastAsia"/>
          <w:bCs/>
          <w:color w:val="000000" w:themeColor="text1"/>
          <w:sz w:val="28"/>
          <w:szCs w:val="28"/>
        </w:rPr>
        <w:t>住建部海绵城市试点考核专家，财政部PPP示范项目评审专家，中国投资咨询有限责任公司研究中心主任。</w:t>
      </w:r>
    </w:p>
    <w:p w14:paraId="6B6A3BC6" w14:textId="77777777" w:rsidR="00F751AF" w:rsidRDefault="00000000">
      <w:pPr>
        <w:pStyle w:val="2"/>
        <w:autoSpaceDE/>
        <w:autoSpaceDN/>
        <w:spacing w:line="536" w:lineRule="exact"/>
        <w:ind w:left="0" w:firstLine="562"/>
        <w:rPr>
          <w:rFonts w:hAnsi="仿宋" w:cs="仿宋"/>
          <w:bCs/>
          <w:color w:val="000000" w:themeColor="text1"/>
          <w:sz w:val="28"/>
          <w:szCs w:val="28"/>
        </w:rPr>
      </w:pPr>
      <w:r>
        <w:rPr>
          <w:rFonts w:hAnsi="仿宋" w:cs="仿宋"/>
          <w:b/>
          <w:color w:val="000000" w:themeColor="text1"/>
          <w:sz w:val="28"/>
          <w:szCs w:val="28"/>
        </w:rPr>
        <w:t>温来成：</w:t>
      </w:r>
      <w:hyperlink r:id="rId8" w:tgtFrame="https://baike.so.com/doc/_blank" w:history="1">
        <w:r>
          <w:rPr>
            <w:rFonts w:hAnsi="仿宋" w:cs="仿宋" w:hint="default"/>
            <w:bCs/>
            <w:color w:val="000000" w:themeColor="text1"/>
            <w:sz w:val="28"/>
            <w:szCs w:val="28"/>
          </w:rPr>
          <w:t>中国人民大学</w:t>
        </w:r>
      </w:hyperlink>
      <w:r>
        <w:rPr>
          <w:rFonts w:hAnsi="仿宋" w:cs="仿宋" w:hint="default"/>
          <w:bCs/>
          <w:color w:val="000000" w:themeColor="text1"/>
          <w:sz w:val="28"/>
          <w:szCs w:val="28"/>
        </w:rPr>
        <w:t>经济学博士，</w:t>
      </w:r>
      <w:hyperlink r:id="rId9" w:tgtFrame="https://baike.so.com/doc/_blank" w:history="1">
        <w:r>
          <w:rPr>
            <w:rFonts w:hAnsi="仿宋" w:cs="仿宋" w:hint="default"/>
            <w:bCs/>
            <w:color w:val="000000" w:themeColor="text1"/>
            <w:sz w:val="28"/>
            <w:szCs w:val="28"/>
          </w:rPr>
          <w:t>中央财经大学</w:t>
        </w:r>
      </w:hyperlink>
      <w:r>
        <w:rPr>
          <w:rFonts w:hAnsi="仿宋" w:cs="仿宋" w:hint="default"/>
          <w:bCs/>
          <w:color w:val="000000" w:themeColor="text1"/>
          <w:sz w:val="28"/>
          <w:szCs w:val="28"/>
        </w:rPr>
        <w:t>教授，博士生导师，</w:t>
      </w:r>
      <w:hyperlink r:id="rId10" w:tgtFrame="https://baike.so.com/doc/_blank" w:history="1">
        <w:r>
          <w:rPr>
            <w:rFonts w:hAnsi="仿宋" w:cs="仿宋" w:hint="default"/>
            <w:bCs/>
            <w:color w:val="000000" w:themeColor="text1"/>
            <w:sz w:val="28"/>
            <w:szCs w:val="28"/>
          </w:rPr>
          <w:t>国家社会科学基金</w:t>
        </w:r>
      </w:hyperlink>
      <w:r>
        <w:rPr>
          <w:rFonts w:hAnsi="仿宋" w:cs="仿宋" w:hint="default"/>
          <w:bCs/>
          <w:color w:val="000000" w:themeColor="text1"/>
          <w:sz w:val="28"/>
          <w:szCs w:val="28"/>
        </w:rPr>
        <w:t>评审专家，</w:t>
      </w:r>
      <w:hyperlink r:id="rId11" w:tgtFrame="https://baike.so.com/doc/_blank" w:history="1">
        <w:r>
          <w:rPr>
            <w:rFonts w:hAnsi="仿宋" w:cs="仿宋" w:hint="default"/>
            <w:bCs/>
            <w:color w:val="000000" w:themeColor="text1"/>
            <w:sz w:val="28"/>
            <w:szCs w:val="28"/>
          </w:rPr>
          <w:t>国家自然科学基金</w:t>
        </w:r>
      </w:hyperlink>
      <w:r>
        <w:rPr>
          <w:rFonts w:hAnsi="仿宋" w:cs="仿宋" w:hint="default"/>
          <w:bCs/>
          <w:color w:val="000000" w:themeColor="text1"/>
          <w:sz w:val="28"/>
          <w:szCs w:val="28"/>
        </w:rPr>
        <w:t>评审专家</w:t>
      </w:r>
      <w:r>
        <w:rPr>
          <w:rFonts w:hAnsi="仿宋" w:cs="仿宋"/>
          <w:bCs/>
          <w:color w:val="000000" w:themeColor="text1"/>
          <w:sz w:val="28"/>
          <w:szCs w:val="28"/>
        </w:rPr>
        <w:t>。</w:t>
      </w:r>
    </w:p>
    <w:p w14:paraId="65841270" w14:textId="77777777" w:rsidR="00F751AF" w:rsidRDefault="00000000">
      <w:pPr>
        <w:spacing w:line="536" w:lineRule="exact"/>
        <w:ind w:firstLineChars="200" w:firstLine="562"/>
        <w:rPr>
          <w:rFonts w:ascii="仿宋" w:eastAsia="仿宋" w:hAnsi="仿宋" w:cs="仿宋" w:hint="eastAsia"/>
          <w:bCs/>
          <w:color w:val="000000" w:themeColor="text1"/>
          <w:sz w:val="28"/>
          <w:szCs w:val="28"/>
        </w:rPr>
      </w:pPr>
      <w:r>
        <w:rPr>
          <w:rFonts w:ascii="仿宋" w:eastAsia="仿宋" w:hAnsi="仿宋" w:cs="仿宋" w:hint="eastAsia"/>
          <w:b/>
          <w:color w:val="000000" w:themeColor="text1"/>
          <w:sz w:val="28"/>
          <w:szCs w:val="28"/>
        </w:rPr>
        <w:t>张  鹏：</w:t>
      </w:r>
      <w:r>
        <w:rPr>
          <w:rFonts w:ascii="仿宋" w:eastAsia="仿宋" w:hAnsi="仿宋" w:cs="仿宋"/>
          <w:bCs/>
          <w:color w:val="000000" w:themeColor="text1"/>
          <w:sz w:val="28"/>
          <w:szCs w:val="28"/>
        </w:rPr>
        <w:t>财政部政策实验室宏观经济部主任、经济学博士</w:t>
      </w:r>
      <w:r>
        <w:rPr>
          <w:rFonts w:ascii="仿宋" w:eastAsia="仿宋" w:hAnsi="仿宋" w:cs="仿宋" w:hint="eastAsia"/>
          <w:bCs/>
          <w:color w:val="000000" w:themeColor="text1"/>
          <w:sz w:val="28"/>
          <w:szCs w:val="28"/>
        </w:rPr>
        <w:t>、</w:t>
      </w:r>
      <w:r>
        <w:rPr>
          <w:rFonts w:ascii="仿宋" w:eastAsia="仿宋" w:hAnsi="仿宋" w:cs="仿宋"/>
          <w:bCs/>
          <w:color w:val="000000" w:themeColor="text1"/>
          <w:sz w:val="28"/>
          <w:szCs w:val="28"/>
        </w:rPr>
        <w:t>中共中央党校干部学习网特约专家</w:t>
      </w:r>
      <w:r>
        <w:rPr>
          <w:rFonts w:ascii="仿宋" w:eastAsia="仿宋" w:hAnsi="仿宋" w:cs="仿宋" w:hint="eastAsia"/>
          <w:bCs/>
          <w:color w:val="000000" w:themeColor="text1"/>
          <w:sz w:val="28"/>
          <w:szCs w:val="28"/>
        </w:rPr>
        <w:t>。</w:t>
      </w:r>
    </w:p>
    <w:p w14:paraId="16C4481A" w14:textId="77777777" w:rsidR="00F751AF" w:rsidRDefault="00000000">
      <w:pPr>
        <w:spacing w:line="536" w:lineRule="exact"/>
        <w:ind w:firstLineChars="200" w:firstLine="562"/>
        <w:rPr>
          <w:rFonts w:ascii="仿宋" w:eastAsia="仿宋" w:hAnsi="仿宋" w:cs="仿宋" w:hint="eastAsia"/>
          <w:bCs/>
          <w:color w:val="000000" w:themeColor="text1"/>
          <w:sz w:val="28"/>
          <w:szCs w:val="28"/>
        </w:rPr>
      </w:pPr>
      <w:r>
        <w:rPr>
          <w:rFonts w:ascii="仿宋" w:eastAsia="仿宋" w:hAnsi="仿宋" w:cs="仿宋" w:hint="eastAsia"/>
          <w:b/>
          <w:color w:val="000000" w:themeColor="text1"/>
          <w:sz w:val="28"/>
          <w:szCs w:val="28"/>
        </w:rPr>
        <w:t>朱  静</w:t>
      </w:r>
      <w:r>
        <w:rPr>
          <w:rFonts w:ascii="仿宋" w:eastAsia="仿宋" w:hAnsi="仿宋" w:cs="仿宋" w:hint="eastAsia"/>
          <w:bCs/>
          <w:color w:val="000000" w:themeColor="text1"/>
          <w:sz w:val="28"/>
          <w:szCs w:val="28"/>
        </w:rPr>
        <w:t>：中央财经大学PPP智库专家，中国政信（政务）研究中心专家，中能国和产业投资发展集团合伙人首席专家。</w:t>
      </w:r>
    </w:p>
    <w:p w14:paraId="030ED920" w14:textId="77777777" w:rsidR="00F751AF" w:rsidRDefault="00000000">
      <w:pPr>
        <w:spacing w:line="536" w:lineRule="exact"/>
        <w:ind w:firstLineChars="200" w:firstLine="562"/>
        <w:rPr>
          <w:rFonts w:ascii="仿宋" w:eastAsia="仿宋" w:hAnsi="仿宋" w:cs="仿宋" w:hint="eastAsia"/>
          <w:b/>
          <w:bCs/>
          <w:color w:val="000000" w:themeColor="text1"/>
          <w:sz w:val="28"/>
          <w:szCs w:val="28"/>
        </w:rPr>
      </w:pPr>
      <w:r>
        <w:rPr>
          <w:rFonts w:ascii="仿宋" w:eastAsia="仿宋" w:hAnsi="仿宋" w:cs="仿宋" w:hint="eastAsia"/>
          <w:b/>
          <w:bCs/>
          <w:color w:val="000000" w:themeColor="text1"/>
          <w:sz w:val="28"/>
          <w:szCs w:val="28"/>
        </w:rPr>
        <w:t>四、</w:t>
      </w:r>
      <w:r>
        <w:rPr>
          <w:rFonts w:ascii="仿宋" w:eastAsia="仿宋" w:hAnsi="仿宋" w:cs="仿宋"/>
          <w:b/>
          <w:bCs/>
          <w:color w:val="000000" w:themeColor="text1"/>
          <w:sz w:val="28"/>
          <w:szCs w:val="28"/>
        </w:rPr>
        <w:t>培训时间与地点</w:t>
      </w:r>
    </w:p>
    <w:p w14:paraId="6BAC65A2" w14:textId="77777777" w:rsidR="00F751AF" w:rsidRDefault="00000000">
      <w:pPr>
        <w:spacing w:line="536"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2026年03月19日—03月22日   扬州市 （19日全天报到）</w:t>
      </w:r>
    </w:p>
    <w:p w14:paraId="4FC3DCDB" w14:textId="77777777" w:rsidR="00F751AF" w:rsidRDefault="00000000">
      <w:pPr>
        <w:spacing w:line="536"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2026年04月09日—04月12日   成都市 （09日全天报到）</w:t>
      </w:r>
    </w:p>
    <w:p w14:paraId="27FCA8C8" w14:textId="77777777" w:rsidR="00F751AF" w:rsidRDefault="00000000">
      <w:pPr>
        <w:spacing w:line="536"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2026年04月16日—04月19日   厦门市 （16日全天报到）</w:t>
      </w:r>
    </w:p>
    <w:p w14:paraId="22E3D7BA" w14:textId="77777777" w:rsidR="00F751AF" w:rsidRDefault="00000000">
      <w:pPr>
        <w:spacing w:line="536"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2026年04月23日—04月26日   长沙市 （23日全天报到）</w:t>
      </w:r>
    </w:p>
    <w:p w14:paraId="19D7B099" w14:textId="77777777" w:rsidR="00F751AF" w:rsidRDefault="00000000">
      <w:pPr>
        <w:spacing w:line="536"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2026年05月14日—05月17日   武汉市 （14日全天报到）</w:t>
      </w:r>
    </w:p>
    <w:p w14:paraId="029E8FA3" w14:textId="77777777" w:rsidR="00F751AF" w:rsidRDefault="00000000">
      <w:pPr>
        <w:spacing w:line="536" w:lineRule="exact"/>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2026年05月21日—05月24日   西安市 （21日全天报到）</w:t>
      </w:r>
    </w:p>
    <w:p w14:paraId="17F92095" w14:textId="77777777" w:rsidR="00F751AF" w:rsidRDefault="00000000">
      <w:pPr>
        <w:spacing w:line="536" w:lineRule="exact"/>
        <w:ind w:firstLineChars="200" w:firstLine="562"/>
        <w:rPr>
          <w:rFonts w:ascii="仿宋" w:eastAsia="仿宋" w:hAnsi="仿宋" w:cs="仿宋" w:hint="eastAsia"/>
          <w:bCs/>
          <w:color w:val="000000" w:themeColor="text1"/>
          <w:sz w:val="28"/>
          <w:szCs w:val="28"/>
        </w:rPr>
      </w:pPr>
      <w:r>
        <w:rPr>
          <w:rFonts w:ascii="仿宋" w:eastAsia="仿宋" w:hAnsi="仿宋" w:cs="仿宋" w:hint="eastAsia"/>
          <w:b/>
          <w:bCs/>
          <w:color w:val="000000" w:themeColor="text1"/>
          <w:sz w:val="28"/>
          <w:szCs w:val="28"/>
        </w:rPr>
        <w:t>五</w:t>
      </w:r>
      <w:r>
        <w:rPr>
          <w:rFonts w:ascii="仿宋" w:eastAsia="仿宋" w:hAnsi="仿宋" w:cs="仿宋"/>
          <w:b/>
          <w:bCs/>
          <w:color w:val="000000" w:themeColor="text1"/>
          <w:sz w:val="28"/>
          <w:szCs w:val="28"/>
        </w:rPr>
        <w:t>、收费标准</w:t>
      </w:r>
    </w:p>
    <w:p w14:paraId="4B63A8BB" w14:textId="77777777" w:rsidR="00F751AF" w:rsidRDefault="00000000">
      <w:pPr>
        <w:spacing w:line="536" w:lineRule="exact"/>
        <w:ind w:firstLineChars="200" w:firstLine="560"/>
        <w:rPr>
          <w:rFonts w:ascii="仿宋" w:eastAsia="仿宋" w:hAnsi="仿宋" w:cs="仿宋" w:hint="eastAsia"/>
          <w:bCs/>
          <w:color w:val="000000" w:themeColor="text1"/>
          <w:sz w:val="28"/>
          <w:szCs w:val="28"/>
        </w:rPr>
      </w:pPr>
      <w:r>
        <w:rPr>
          <w:rFonts w:ascii="仿宋" w:eastAsia="仿宋" w:hAnsi="仿宋" w:cs="仿宋"/>
          <w:bCs/>
          <w:color w:val="000000" w:themeColor="text1"/>
          <w:sz w:val="28"/>
          <w:szCs w:val="28"/>
        </w:rPr>
        <w:t>A.3</w:t>
      </w:r>
      <w:r>
        <w:rPr>
          <w:rFonts w:ascii="仿宋" w:eastAsia="仿宋" w:hAnsi="仿宋" w:cs="仿宋" w:hint="eastAsia"/>
          <w:bCs/>
          <w:color w:val="000000" w:themeColor="text1"/>
          <w:sz w:val="28"/>
          <w:szCs w:val="28"/>
        </w:rPr>
        <w:t>98</w:t>
      </w:r>
      <w:r>
        <w:rPr>
          <w:rFonts w:ascii="仿宋" w:eastAsia="仿宋" w:hAnsi="仿宋" w:cs="仿宋"/>
          <w:bCs/>
          <w:color w:val="000000" w:themeColor="text1"/>
          <w:sz w:val="28"/>
          <w:szCs w:val="28"/>
        </w:rPr>
        <w:t>0元/人（含培训、资料、电子课件、场地及培训期间午餐</w:t>
      </w:r>
      <w:r>
        <w:rPr>
          <w:rFonts w:ascii="仿宋" w:eastAsia="仿宋" w:hAnsi="仿宋" w:cs="仿宋" w:hint="eastAsia"/>
          <w:bCs/>
          <w:color w:val="000000" w:themeColor="text1"/>
          <w:sz w:val="28"/>
          <w:szCs w:val="28"/>
        </w:rPr>
        <w:t>、结业证书等</w:t>
      </w:r>
      <w:r>
        <w:rPr>
          <w:rFonts w:ascii="仿宋" w:eastAsia="仿宋" w:hAnsi="仿宋" w:cs="仿宋"/>
          <w:bCs/>
          <w:color w:val="000000" w:themeColor="text1"/>
          <w:sz w:val="28"/>
          <w:szCs w:val="28"/>
        </w:rPr>
        <w:t>），住宿统一安排，费用自理。</w:t>
      </w:r>
    </w:p>
    <w:p w14:paraId="494CEC0B" w14:textId="77777777" w:rsidR="00F751AF" w:rsidRDefault="00000000">
      <w:pPr>
        <w:spacing w:line="536" w:lineRule="exact"/>
        <w:ind w:firstLineChars="200" w:firstLine="560"/>
        <w:rPr>
          <w:rFonts w:ascii="仿宋" w:eastAsia="仿宋" w:hAnsi="仿宋" w:cs="仿宋" w:hint="eastAsia"/>
          <w:bCs/>
          <w:color w:val="000000" w:themeColor="text1"/>
          <w:sz w:val="28"/>
          <w:szCs w:val="28"/>
        </w:rPr>
      </w:pPr>
      <w:r>
        <w:rPr>
          <w:rFonts w:ascii="仿宋" w:eastAsia="仿宋" w:hAnsi="仿宋" w:cs="仿宋"/>
          <w:bCs/>
          <w:color w:val="000000" w:themeColor="text1"/>
          <w:sz w:val="28"/>
          <w:szCs w:val="28"/>
        </w:rPr>
        <w:lastRenderedPageBreak/>
        <w:t>B.5</w:t>
      </w:r>
      <w:r>
        <w:rPr>
          <w:rFonts w:ascii="仿宋" w:eastAsia="仿宋" w:hAnsi="仿宋" w:cs="仿宋" w:hint="eastAsia"/>
          <w:bCs/>
          <w:color w:val="000000" w:themeColor="text1"/>
          <w:sz w:val="28"/>
          <w:szCs w:val="28"/>
        </w:rPr>
        <w:t>98</w:t>
      </w:r>
      <w:r>
        <w:rPr>
          <w:rFonts w:ascii="仿宋" w:eastAsia="仿宋" w:hAnsi="仿宋" w:cs="仿宋"/>
          <w:bCs/>
          <w:color w:val="000000" w:themeColor="text1"/>
          <w:sz w:val="28"/>
          <w:szCs w:val="28"/>
        </w:rPr>
        <w:t>0元/人（含培训、资料、电子课件、场地、证书及培训期间午餐），住宿统一安排，费用自理。培训结束后，经考核合格，</w:t>
      </w:r>
      <w:r>
        <w:rPr>
          <w:rFonts w:ascii="仿宋" w:eastAsia="仿宋" w:hAnsi="仿宋" w:cs="仿宋" w:hint="eastAsia"/>
          <w:bCs/>
          <w:color w:val="000000" w:themeColor="text1"/>
          <w:sz w:val="28"/>
          <w:szCs w:val="28"/>
        </w:rPr>
        <w:t>由中小企业合作发展促进中心颁发《投融资规划师》证书，报名需提供申报表、二寸蓝底免冠彩色照片、身份证复印件、学历证书复印件等电子版材料。</w:t>
      </w:r>
    </w:p>
    <w:p w14:paraId="2708413B" w14:textId="77777777" w:rsidR="00F751AF" w:rsidRDefault="00000000">
      <w:pPr>
        <w:snapToGrid w:val="0"/>
        <w:spacing w:line="536"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C.28000元/单位，同步直播，单位投屏播放，统一观看，不限人数，提供电子课件，支持在线提问。</w:t>
      </w:r>
    </w:p>
    <w:p w14:paraId="02BB491B" w14:textId="77777777" w:rsidR="00F751AF" w:rsidRDefault="00F751AF">
      <w:pPr>
        <w:snapToGrid w:val="0"/>
        <w:spacing w:line="500" w:lineRule="exact"/>
        <w:ind w:firstLineChars="200" w:firstLine="560"/>
        <w:rPr>
          <w:rFonts w:ascii="仿宋" w:eastAsia="仿宋" w:hAnsi="仿宋" w:cs="仿宋" w:hint="eastAsia"/>
          <w:sz w:val="28"/>
          <w:szCs w:val="28"/>
        </w:rPr>
      </w:pPr>
    </w:p>
    <w:p w14:paraId="65F04E06" w14:textId="77777777" w:rsidR="00F751AF" w:rsidRDefault="00000000">
      <w:pPr>
        <w:spacing w:line="500" w:lineRule="exact"/>
        <w:ind w:firstLineChars="300" w:firstLine="755"/>
        <w:rPr>
          <w:rFonts w:ascii="仿宋" w:eastAsia="仿宋" w:hAnsi="仿宋" w:cs="仿宋" w:hint="eastAsia"/>
          <w:b/>
          <w:bCs/>
          <w:color w:val="000000" w:themeColor="text1"/>
          <w:sz w:val="28"/>
          <w:szCs w:val="28"/>
        </w:rPr>
      </w:pPr>
      <w:r>
        <w:rPr>
          <w:rFonts w:ascii="仿宋" w:eastAsia="仿宋" w:hAnsi="仿宋" w:cs="仿宋" w:hint="eastAsia"/>
          <w:noProof/>
          <w:color w:val="000000" w:themeColor="text1"/>
          <w:w w:val="90"/>
          <w:sz w:val="28"/>
          <w:szCs w:val="24"/>
        </w:rPr>
        <w:drawing>
          <wp:anchor distT="0" distB="0" distL="114300" distR="114300" simplePos="0" relativeHeight="251658240" behindDoc="1" locked="0" layoutInCell="1" allowOverlap="1" wp14:anchorId="1F6F800D" wp14:editId="139026CD">
            <wp:simplePos x="0" y="0"/>
            <wp:positionH relativeFrom="column">
              <wp:posOffset>2790825</wp:posOffset>
            </wp:positionH>
            <wp:positionV relativeFrom="paragraph">
              <wp:posOffset>3175</wp:posOffset>
            </wp:positionV>
            <wp:extent cx="2190750" cy="2187575"/>
            <wp:effectExtent l="0" t="0" r="0" b="0"/>
            <wp:wrapNone/>
            <wp:docPr id="3" name="图片 3" descr="中建科信集团（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建科信集团（无背景）"/>
                    <pic:cNvPicPr>
                      <a:picLocks noChangeAspect="1"/>
                    </pic:cNvPicPr>
                  </pic:nvPicPr>
                  <pic:blipFill>
                    <a:blip r:embed="rId12"/>
                    <a:stretch>
                      <a:fillRect/>
                    </a:stretch>
                  </pic:blipFill>
                  <pic:spPr>
                    <a:xfrm>
                      <a:off x="0" y="0"/>
                      <a:ext cx="2190750" cy="2187575"/>
                    </a:xfrm>
                    <a:prstGeom prst="rect">
                      <a:avLst/>
                    </a:prstGeom>
                  </pic:spPr>
                </pic:pic>
              </a:graphicData>
            </a:graphic>
          </wp:anchor>
        </w:drawing>
      </w:r>
      <w:r>
        <w:rPr>
          <w:rFonts w:ascii="仿宋" w:eastAsia="仿宋" w:hAnsi="仿宋" w:cs="仿宋" w:hint="eastAsia"/>
          <w:color w:val="000000" w:themeColor="text1"/>
          <w:sz w:val="28"/>
          <w:szCs w:val="28"/>
        </w:rPr>
        <w:t>附件：报名回执表</w:t>
      </w:r>
    </w:p>
    <w:p w14:paraId="4EEE2561" w14:textId="77777777" w:rsidR="00F751AF" w:rsidRDefault="00000000">
      <w:pPr>
        <w:spacing w:line="500" w:lineRule="exact"/>
        <w:rPr>
          <w:rFonts w:ascii="仿宋" w:eastAsia="仿宋" w:hAnsi="仿宋" w:cs="仿宋" w:hint="eastAsia"/>
          <w:b/>
          <w:bCs/>
          <w:color w:val="000000" w:themeColor="text1"/>
          <w:sz w:val="28"/>
          <w:szCs w:val="28"/>
        </w:rPr>
      </w:pPr>
      <w:r>
        <w:rPr>
          <w:rFonts w:ascii="仿宋" w:eastAsia="仿宋" w:hAnsi="仿宋" w:cs="仿宋" w:hint="eastAsia"/>
          <w:noProof/>
          <w:color w:val="000000" w:themeColor="text1"/>
          <w:w w:val="90"/>
          <w:sz w:val="28"/>
          <w:szCs w:val="24"/>
        </w:rPr>
        <w:drawing>
          <wp:anchor distT="0" distB="0" distL="114300" distR="114300" simplePos="0" relativeHeight="251659264" behindDoc="0" locked="0" layoutInCell="1" allowOverlap="1" wp14:anchorId="1C2D432B" wp14:editId="0F76810C">
            <wp:simplePos x="0" y="0"/>
            <wp:positionH relativeFrom="column">
              <wp:posOffset>523240</wp:posOffset>
            </wp:positionH>
            <wp:positionV relativeFrom="paragraph">
              <wp:posOffset>271145</wp:posOffset>
            </wp:positionV>
            <wp:extent cx="1804035" cy="1504950"/>
            <wp:effectExtent l="0" t="0" r="5715" b="0"/>
            <wp:wrapNone/>
            <wp:docPr id="4" name="图片 4" descr="6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 拷贝"/>
                    <pic:cNvPicPr>
                      <a:picLocks noChangeAspect="1"/>
                    </pic:cNvPicPr>
                  </pic:nvPicPr>
                  <pic:blipFill>
                    <a:blip r:embed="rId13"/>
                    <a:stretch>
                      <a:fillRect/>
                    </a:stretch>
                  </pic:blipFill>
                  <pic:spPr>
                    <a:xfrm>
                      <a:off x="0" y="0"/>
                      <a:ext cx="1804035" cy="1504950"/>
                    </a:xfrm>
                    <a:prstGeom prst="rect">
                      <a:avLst/>
                    </a:prstGeom>
                  </pic:spPr>
                </pic:pic>
              </a:graphicData>
            </a:graphic>
          </wp:anchor>
        </w:drawing>
      </w:r>
    </w:p>
    <w:p w14:paraId="211CEBFB" w14:textId="77777777" w:rsidR="00F751AF" w:rsidRDefault="00F751AF">
      <w:pPr>
        <w:spacing w:line="500" w:lineRule="exact"/>
        <w:rPr>
          <w:rFonts w:ascii="仿宋" w:eastAsia="仿宋" w:hAnsi="仿宋" w:cs="仿宋" w:hint="eastAsia"/>
          <w:b/>
          <w:bCs/>
          <w:color w:val="000000" w:themeColor="text1"/>
          <w:sz w:val="28"/>
          <w:szCs w:val="28"/>
        </w:rPr>
      </w:pPr>
    </w:p>
    <w:p w14:paraId="6D95CBAE" w14:textId="77777777" w:rsidR="00F751AF" w:rsidRDefault="00000000">
      <w:pPr>
        <w:ind w:firstLineChars="1000" w:firstLine="2516"/>
        <w:rPr>
          <w:rFonts w:ascii="仿宋" w:eastAsia="仿宋" w:hAnsi="仿宋" w:cs="仿宋" w:hint="eastAsia"/>
          <w:color w:val="000000" w:themeColor="text1"/>
          <w:w w:val="90"/>
          <w:sz w:val="28"/>
          <w:szCs w:val="24"/>
        </w:rPr>
      </w:pPr>
      <w:r>
        <w:rPr>
          <w:rFonts w:ascii="仿宋" w:eastAsia="仿宋" w:hAnsi="仿宋" w:cs="仿宋" w:hint="eastAsia"/>
          <w:color w:val="000000" w:themeColor="text1"/>
          <w:w w:val="90"/>
          <w:sz w:val="28"/>
          <w:szCs w:val="24"/>
        </w:rPr>
        <w:t xml:space="preserve">            北京中建科信管理咨询集团有限公司</w:t>
      </w:r>
    </w:p>
    <w:p w14:paraId="26B3C7B3" w14:textId="77777777" w:rsidR="00F751AF" w:rsidRDefault="00000000">
      <w:pPr>
        <w:spacing w:line="500" w:lineRule="exact"/>
        <w:ind w:firstLineChars="900" w:firstLine="2520"/>
        <w:rPr>
          <w:rFonts w:ascii="仿宋" w:eastAsia="仿宋" w:hAnsi="仿宋" w:cs="仿宋" w:hint="eastAsia"/>
          <w:b/>
          <w:bCs/>
          <w:color w:val="000000" w:themeColor="text1"/>
          <w:sz w:val="28"/>
          <w:szCs w:val="28"/>
        </w:rPr>
      </w:pPr>
      <w:r>
        <w:rPr>
          <w:rFonts w:ascii="仿宋" w:eastAsia="仿宋" w:hAnsi="仿宋" w:cs="仿宋" w:hint="eastAsia"/>
          <w:color w:val="000000" w:themeColor="text1"/>
          <w:sz w:val="28"/>
          <w:szCs w:val="28"/>
        </w:rPr>
        <w:t xml:space="preserve">                  2026年2月2日</w:t>
      </w:r>
    </w:p>
    <w:p w14:paraId="5A00F0AC" w14:textId="77777777" w:rsidR="00F751AF" w:rsidRDefault="00000000">
      <w:pPr>
        <w:widowControl/>
        <w:jc w:val="left"/>
        <w:rPr>
          <w:rFonts w:ascii="仿宋" w:eastAsia="仿宋" w:hAnsi="仿宋" w:cs="仿宋" w:hint="eastAsia"/>
          <w:b/>
          <w:bCs/>
          <w:color w:val="000000" w:themeColor="text1"/>
          <w:sz w:val="28"/>
          <w:szCs w:val="28"/>
        </w:rPr>
      </w:pPr>
      <w:r>
        <w:rPr>
          <w:rFonts w:ascii="仿宋" w:eastAsia="仿宋" w:hAnsi="仿宋" w:cs="仿宋"/>
          <w:b/>
          <w:bCs/>
          <w:color w:val="000000" w:themeColor="text1"/>
          <w:sz w:val="28"/>
          <w:szCs w:val="28"/>
        </w:rPr>
        <w:br w:type="page"/>
      </w:r>
    </w:p>
    <w:p w14:paraId="711DDDBC" w14:textId="77777777" w:rsidR="00F751AF" w:rsidRDefault="00000000">
      <w:pPr>
        <w:rPr>
          <w:rFonts w:ascii="仿宋" w:eastAsia="仿宋" w:hAnsi="仿宋" w:cs="仿宋" w:hint="eastAsia"/>
          <w:b/>
          <w:bCs/>
          <w:color w:val="000000" w:themeColor="text1"/>
          <w:sz w:val="28"/>
          <w:szCs w:val="28"/>
        </w:rPr>
      </w:pPr>
      <w:r>
        <w:rPr>
          <w:rFonts w:ascii="仿宋" w:eastAsia="仿宋" w:hAnsi="仿宋" w:cs="仿宋" w:hint="eastAsia"/>
          <w:b/>
          <w:bCs/>
          <w:color w:val="000000" w:themeColor="text1"/>
          <w:sz w:val="28"/>
          <w:szCs w:val="28"/>
        </w:rPr>
        <w:lastRenderedPageBreak/>
        <w:t>附件：</w:t>
      </w:r>
    </w:p>
    <w:p w14:paraId="21D05AAD" w14:textId="77777777" w:rsidR="00F751AF" w:rsidRDefault="00000000">
      <w:pPr>
        <w:spacing w:line="480" w:lineRule="exact"/>
        <w:ind w:rightChars="-70" w:right="-147"/>
        <w:jc w:val="center"/>
        <w:rPr>
          <w:rFonts w:ascii="仿宋" w:eastAsia="仿宋" w:hAnsi="仿宋" w:cs="仿宋" w:hint="eastAsia"/>
          <w:b/>
          <w:color w:val="000000" w:themeColor="text1"/>
          <w:sz w:val="32"/>
          <w:szCs w:val="32"/>
        </w:rPr>
      </w:pPr>
      <w:r>
        <w:rPr>
          <w:rFonts w:ascii="仿宋" w:eastAsia="仿宋" w:hAnsi="仿宋" w:cs="仿宋" w:hint="eastAsia"/>
          <w:b/>
          <w:color w:val="000000" w:themeColor="text1"/>
          <w:sz w:val="32"/>
          <w:szCs w:val="32"/>
        </w:rPr>
        <w:t>“2026年投融资优质项目储备和谋划、‘三大资金’申报，城市更新及‘三资三化’盘活存量资产高级研修班”报名回执表</w:t>
      </w:r>
    </w:p>
    <w:tbl>
      <w:tblPr>
        <w:tblpPr w:leftFromText="180" w:rightFromText="180" w:vertAnchor="text" w:horzAnchor="page" w:tblpX="1225" w:tblpY="287"/>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8"/>
        <w:gridCol w:w="854"/>
        <w:gridCol w:w="1293"/>
        <w:gridCol w:w="1952"/>
        <w:gridCol w:w="1896"/>
        <w:gridCol w:w="2164"/>
      </w:tblGrid>
      <w:tr w:rsidR="00F751AF" w14:paraId="6642035E" w14:textId="77777777">
        <w:trPr>
          <w:trHeight w:val="407"/>
        </w:trPr>
        <w:tc>
          <w:tcPr>
            <w:tcW w:w="1678" w:type="dxa"/>
            <w:vAlign w:val="center"/>
          </w:tcPr>
          <w:p w14:paraId="51336F8B"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单位名称</w:t>
            </w:r>
          </w:p>
        </w:tc>
        <w:tc>
          <w:tcPr>
            <w:tcW w:w="4099" w:type="dxa"/>
            <w:gridSpan w:val="3"/>
            <w:vAlign w:val="center"/>
          </w:tcPr>
          <w:p w14:paraId="3D4B1963" w14:textId="77777777" w:rsidR="00F751AF" w:rsidRDefault="00F751AF">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p>
        </w:tc>
        <w:tc>
          <w:tcPr>
            <w:tcW w:w="1896" w:type="dxa"/>
            <w:vAlign w:val="center"/>
          </w:tcPr>
          <w:p w14:paraId="0519C868"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邮 编</w:t>
            </w:r>
          </w:p>
        </w:tc>
        <w:tc>
          <w:tcPr>
            <w:tcW w:w="2164" w:type="dxa"/>
            <w:vAlign w:val="center"/>
          </w:tcPr>
          <w:p w14:paraId="4929DE4D" w14:textId="77777777" w:rsidR="00F751AF" w:rsidRDefault="00F751AF">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p>
        </w:tc>
      </w:tr>
      <w:tr w:rsidR="00F751AF" w14:paraId="27EEFB3A" w14:textId="77777777">
        <w:trPr>
          <w:trHeight w:val="407"/>
        </w:trPr>
        <w:tc>
          <w:tcPr>
            <w:tcW w:w="1678" w:type="dxa"/>
            <w:vAlign w:val="center"/>
          </w:tcPr>
          <w:p w14:paraId="0D880D5C"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单位地址</w:t>
            </w:r>
          </w:p>
        </w:tc>
        <w:tc>
          <w:tcPr>
            <w:tcW w:w="8159" w:type="dxa"/>
            <w:gridSpan w:val="5"/>
            <w:vAlign w:val="center"/>
          </w:tcPr>
          <w:p w14:paraId="37753E97" w14:textId="77777777" w:rsidR="00F751AF" w:rsidRDefault="00F751AF">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p>
        </w:tc>
      </w:tr>
      <w:tr w:rsidR="00F751AF" w14:paraId="5FF53D9F" w14:textId="77777777">
        <w:trPr>
          <w:trHeight w:val="407"/>
        </w:trPr>
        <w:tc>
          <w:tcPr>
            <w:tcW w:w="1678" w:type="dxa"/>
            <w:vAlign w:val="center"/>
          </w:tcPr>
          <w:p w14:paraId="1628A7C8"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联 系 人</w:t>
            </w:r>
          </w:p>
        </w:tc>
        <w:tc>
          <w:tcPr>
            <w:tcW w:w="2147" w:type="dxa"/>
            <w:gridSpan w:val="2"/>
            <w:vAlign w:val="center"/>
          </w:tcPr>
          <w:p w14:paraId="30B9509D" w14:textId="77777777" w:rsidR="00F751AF" w:rsidRDefault="00F751AF">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p>
        </w:tc>
        <w:tc>
          <w:tcPr>
            <w:tcW w:w="1952" w:type="dxa"/>
            <w:vAlign w:val="center"/>
          </w:tcPr>
          <w:p w14:paraId="50567046"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职    务</w:t>
            </w:r>
          </w:p>
        </w:tc>
        <w:tc>
          <w:tcPr>
            <w:tcW w:w="4060" w:type="dxa"/>
            <w:gridSpan w:val="2"/>
            <w:vAlign w:val="center"/>
          </w:tcPr>
          <w:p w14:paraId="1F1E1415" w14:textId="77777777" w:rsidR="00F751AF" w:rsidRDefault="00F751AF">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p>
        </w:tc>
      </w:tr>
      <w:tr w:rsidR="00F751AF" w14:paraId="155F2866" w14:textId="77777777">
        <w:trPr>
          <w:trHeight w:val="407"/>
        </w:trPr>
        <w:tc>
          <w:tcPr>
            <w:tcW w:w="1678" w:type="dxa"/>
            <w:vAlign w:val="center"/>
          </w:tcPr>
          <w:p w14:paraId="5E49EE5A"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手    机</w:t>
            </w:r>
          </w:p>
        </w:tc>
        <w:tc>
          <w:tcPr>
            <w:tcW w:w="2147" w:type="dxa"/>
            <w:gridSpan w:val="2"/>
            <w:vAlign w:val="center"/>
          </w:tcPr>
          <w:p w14:paraId="5549DA9F" w14:textId="77777777" w:rsidR="00F751AF" w:rsidRDefault="00F751AF">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p>
        </w:tc>
        <w:tc>
          <w:tcPr>
            <w:tcW w:w="1952" w:type="dxa"/>
            <w:vAlign w:val="center"/>
          </w:tcPr>
          <w:p w14:paraId="0D54DD22"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办公电话</w:t>
            </w:r>
          </w:p>
        </w:tc>
        <w:tc>
          <w:tcPr>
            <w:tcW w:w="4060" w:type="dxa"/>
            <w:gridSpan w:val="2"/>
            <w:vAlign w:val="center"/>
          </w:tcPr>
          <w:p w14:paraId="0BB40CE3" w14:textId="77777777" w:rsidR="00F751AF" w:rsidRDefault="00F751AF">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p>
        </w:tc>
      </w:tr>
      <w:tr w:rsidR="00F751AF" w14:paraId="4971743A" w14:textId="77777777">
        <w:trPr>
          <w:trHeight w:val="407"/>
        </w:trPr>
        <w:tc>
          <w:tcPr>
            <w:tcW w:w="1678" w:type="dxa"/>
            <w:vAlign w:val="center"/>
          </w:tcPr>
          <w:p w14:paraId="7E9D92EA"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传    真</w:t>
            </w:r>
          </w:p>
        </w:tc>
        <w:tc>
          <w:tcPr>
            <w:tcW w:w="2147" w:type="dxa"/>
            <w:gridSpan w:val="2"/>
            <w:vAlign w:val="center"/>
          </w:tcPr>
          <w:p w14:paraId="7E1A0E3E" w14:textId="77777777" w:rsidR="00F751AF" w:rsidRDefault="00F751AF">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p>
        </w:tc>
        <w:tc>
          <w:tcPr>
            <w:tcW w:w="1952" w:type="dxa"/>
            <w:vAlign w:val="center"/>
          </w:tcPr>
          <w:p w14:paraId="48A16ED0"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电子信箱</w:t>
            </w:r>
          </w:p>
        </w:tc>
        <w:tc>
          <w:tcPr>
            <w:tcW w:w="4060" w:type="dxa"/>
            <w:gridSpan w:val="2"/>
            <w:vAlign w:val="center"/>
          </w:tcPr>
          <w:p w14:paraId="7424F900" w14:textId="77777777" w:rsidR="00F751AF" w:rsidRDefault="00F751AF">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p>
        </w:tc>
      </w:tr>
      <w:tr w:rsidR="00F751AF" w14:paraId="77C78F20" w14:textId="77777777">
        <w:trPr>
          <w:trHeight w:val="407"/>
        </w:trPr>
        <w:tc>
          <w:tcPr>
            <w:tcW w:w="1678" w:type="dxa"/>
            <w:vAlign w:val="center"/>
          </w:tcPr>
          <w:p w14:paraId="2084BF65"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参训人员</w:t>
            </w:r>
          </w:p>
        </w:tc>
        <w:tc>
          <w:tcPr>
            <w:tcW w:w="854" w:type="dxa"/>
            <w:vAlign w:val="center"/>
          </w:tcPr>
          <w:p w14:paraId="1FAF55DE"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性别</w:t>
            </w:r>
          </w:p>
        </w:tc>
        <w:tc>
          <w:tcPr>
            <w:tcW w:w="1293" w:type="dxa"/>
            <w:vAlign w:val="center"/>
          </w:tcPr>
          <w:p w14:paraId="247DE6C3"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职  务</w:t>
            </w:r>
          </w:p>
        </w:tc>
        <w:tc>
          <w:tcPr>
            <w:tcW w:w="1952" w:type="dxa"/>
            <w:vAlign w:val="center"/>
          </w:tcPr>
          <w:p w14:paraId="0D0A9AC3"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电    话</w:t>
            </w:r>
          </w:p>
        </w:tc>
        <w:tc>
          <w:tcPr>
            <w:tcW w:w="1896" w:type="dxa"/>
            <w:vAlign w:val="center"/>
          </w:tcPr>
          <w:p w14:paraId="6ADFEF19"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手  机</w:t>
            </w:r>
          </w:p>
        </w:tc>
        <w:tc>
          <w:tcPr>
            <w:tcW w:w="2164" w:type="dxa"/>
            <w:vAlign w:val="center"/>
          </w:tcPr>
          <w:p w14:paraId="2BE47E21"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邮  箱</w:t>
            </w:r>
          </w:p>
        </w:tc>
      </w:tr>
      <w:tr w:rsidR="00F751AF" w14:paraId="23E7C461" w14:textId="77777777">
        <w:trPr>
          <w:trHeight w:val="407"/>
        </w:trPr>
        <w:tc>
          <w:tcPr>
            <w:tcW w:w="1678" w:type="dxa"/>
            <w:vAlign w:val="center"/>
          </w:tcPr>
          <w:p w14:paraId="3DCAC858"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854" w:type="dxa"/>
            <w:vAlign w:val="center"/>
          </w:tcPr>
          <w:p w14:paraId="2774AC6A"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1293" w:type="dxa"/>
            <w:vAlign w:val="center"/>
          </w:tcPr>
          <w:p w14:paraId="42072D2F"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1952" w:type="dxa"/>
            <w:vAlign w:val="center"/>
          </w:tcPr>
          <w:p w14:paraId="285D3346"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1896" w:type="dxa"/>
            <w:vAlign w:val="center"/>
          </w:tcPr>
          <w:p w14:paraId="1A84DE0C"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2164" w:type="dxa"/>
            <w:vAlign w:val="center"/>
          </w:tcPr>
          <w:p w14:paraId="76472F20"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r>
      <w:tr w:rsidR="00F751AF" w14:paraId="2D44EF40" w14:textId="77777777">
        <w:trPr>
          <w:trHeight w:val="407"/>
        </w:trPr>
        <w:tc>
          <w:tcPr>
            <w:tcW w:w="1678" w:type="dxa"/>
            <w:vAlign w:val="center"/>
          </w:tcPr>
          <w:p w14:paraId="0D658A7E"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854" w:type="dxa"/>
            <w:vAlign w:val="center"/>
          </w:tcPr>
          <w:p w14:paraId="0B7EC1AB"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1293" w:type="dxa"/>
            <w:vAlign w:val="center"/>
          </w:tcPr>
          <w:p w14:paraId="18D871F3"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1952" w:type="dxa"/>
            <w:vAlign w:val="center"/>
          </w:tcPr>
          <w:p w14:paraId="42982CED"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1896" w:type="dxa"/>
            <w:vAlign w:val="center"/>
          </w:tcPr>
          <w:p w14:paraId="63005C08"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2164" w:type="dxa"/>
            <w:vAlign w:val="center"/>
          </w:tcPr>
          <w:p w14:paraId="1FD79A3E"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r>
      <w:tr w:rsidR="00F751AF" w14:paraId="680B1C2C" w14:textId="77777777">
        <w:trPr>
          <w:trHeight w:val="407"/>
        </w:trPr>
        <w:tc>
          <w:tcPr>
            <w:tcW w:w="1678" w:type="dxa"/>
            <w:vAlign w:val="center"/>
          </w:tcPr>
          <w:p w14:paraId="489B42F7"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854" w:type="dxa"/>
            <w:vAlign w:val="center"/>
          </w:tcPr>
          <w:p w14:paraId="0764D9F9"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1293" w:type="dxa"/>
            <w:vAlign w:val="center"/>
          </w:tcPr>
          <w:p w14:paraId="430AC993"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1952" w:type="dxa"/>
            <w:vAlign w:val="center"/>
          </w:tcPr>
          <w:p w14:paraId="0FE3D503"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1896" w:type="dxa"/>
            <w:vAlign w:val="center"/>
          </w:tcPr>
          <w:p w14:paraId="326F87F1"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2164" w:type="dxa"/>
            <w:vAlign w:val="center"/>
          </w:tcPr>
          <w:p w14:paraId="7BBEF6B3"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r>
      <w:tr w:rsidR="00F751AF" w14:paraId="79811D4F" w14:textId="77777777">
        <w:trPr>
          <w:trHeight w:val="407"/>
        </w:trPr>
        <w:tc>
          <w:tcPr>
            <w:tcW w:w="1678" w:type="dxa"/>
            <w:vAlign w:val="center"/>
          </w:tcPr>
          <w:p w14:paraId="0D44BA99"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854" w:type="dxa"/>
            <w:vAlign w:val="center"/>
          </w:tcPr>
          <w:p w14:paraId="20B747AA"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1293" w:type="dxa"/>
            <w:vAlign w:val="center"/>
          </w:tcPr>
          <w:p w14:paraId="3245148F"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1952" w:type="dxa"/>
            <w:vAlign w:val="center"/>
          </w:tcPr>
          <w:p w14:paraId="1F327696"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1896" w:type="dxa"/>
            <w:vAlign w:val="center"/>
          </w:tcPr>
          <w:p w14:paraId="6DFC1AA7"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2164" w:type="dxa"/>
            <w:vAlign w:val="center"/>
          </w:tcPr>
          <w:p w14:paraId="7B97616A"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r>
      <w:tr w:rsidR="00F751AF" w14:paraId="136EF757" w14:textId="77777777">
        <w:trPr>
          <w:trHeight w:val="407"/>
        </w:trPr>
        <w:tc>
          <w:tcPr>
            <w:tcW w:w="1678" w:type="dxa"/>
            <w:vAlign w:val="center"/>
          </w:tcPr>
          <w:p w14:paraId="694E5F00"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854" w:type="dxa"/>
            <w:vAlign w:val="center"/>
          </w:tcPr>
          <w:p w14:paraId="7E9F7437"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1293" w:type="dxa"/>
            <w:vAlign w:val="center"/>
          </w:tcPr>
          <w:p w14:paraId="463A4D6D"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1952" w:type="dxa"/>
            <w:vAlign w:val="center"/>
          </w:tcPr>
          <w:p w14:paraId="45B93AB8"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1896" w:type="dxa"/>
            <w:vAlign w:val="center"/>
          </w:tcPr>
          <w:p w14:paraId="6E0E82CD"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2164" w:type="dxa"/>
            <w:vAlign w:val="center"/>
          </w:tcPr>
          <w:p w14:paraId="3DBCEA22"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r>
      <w:tr w:rsidR="00F751AF" w14:paraId="217CFC71" w14:textId="77777777">
        <w:trPr>
          <w:trHeight w:val="407"/>
        </w:trPr>
        <w:tc>
          <w:tcPr>
            <w:tcW w:w="1678" w:type="dxa"/>
            <w:vAlign w:val="center"/>
          </w:tcPr>
          <w:p w14:paraId="2313880B"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参训时间</w:t>
            </w:r>
          </w:p>
        </w:tc>
        <w:tc>
          <w:tcPr>
            <w:tcW w:w="2147" w:type="dxa"/>
            <w:gridSpan w:val="2"/>
            <w:vAlign w:val="center"/>
          </w:tcPr>
          <w:p w14:paraId="3F56D3C1"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c>
          <w:tcPr>
            <w:tcW w:w="1952" w:type="dxa"/>
            <w:vAlign w:val="center"/>
          </w:tcPr>
          <w:p w14:paraId="01067114"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参训地点</w:t>
            </w:r>
          </w:p>
        </w:tc>
        <w:tc>
          <w:tcPr>
            <w:tcW w:w="4060" w:type="dxa"/>
            <w:gridSpan w:val="2"/>
            <w:vAlign w:val="center"/>
          </w:tcPr>
          <w:p w14:paraId="6F2CB732"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r>
      <w:tr w:rsidR="00F751AF" w14:paraId="6E7E15E9" w14:textId="77777777">
        <w:trPr>
          <w:trHeight w:val="407"/>
        </w:trPr>
        <w:tc>
          <w:tcPr>
            <w:tcW w:w="1678" w:type="dxa"/>
            <w:vAlign w:val="center"/>
          </w:tcPr>
          <w:p w14:paraId="52ED430E"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住宿要求</w:t>
            </w:r>
          </w:p>
        </w:tc>
        <w:tc>
          <w:tcPr>
            <w:tcW w:w="8159" w:type="dxa"/>
            <w:gridSpan w:val="5"/>
            <w:vAlign w:val="center"/>
          </w:tcPr>
          <w:p w14:paraId="73325F47" w14:textId="77777777" w:rsidR="00F751AF" w:rsidRDefault="00000000">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单住□      合住□     自理□</w:t>
            </w:r>
          </w:p>
        </w:tc>
      </w:tr>
      <w:tr w:rsidR="00F751AF" w14:paraId="239A1230" w14:textId="77777777">
        <w:trPr>
          <w:trHeight w:val="407"/>
        </w:trPr>
        <w:tc>
          <w:tcPr>
            <w:tcW w:w="1678" w:type="dxa"/>
            <w:vAlign w:val="center"/>
          </w:tcPr>
          <w:p w14:paraId="761B73DE"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证书申报</w:t>
            </w:r>
          </w:p>
        </w:tc>
        <w:tc>
          <w:tcPr>
            <w:tcW w:w="8159" w:type="dxa"/>
            <w:gridSpan w:val="5"/>
            <w:vAlign w:val="center"/>
          </w:tcPr>
          <w:p w14:paraId="1638FEF7" w14:textId="77777777" w:rsidR="00F751AF" w:rsidRDefault="00000000">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证书□</w:t>
            </w:r>
          </w:p>
        </w:tc>
      </w:tr>
      <w:tr w:rsidR="00F751AF" w14:paraId="27BD78E0" w14:textId="77777777">
        <w:trPr>
          <w:trHeight w:val="407"/>
        </w:trPr>
        <w:tc>
          <w:tcPr>
            <w:tcW w:w="1678" w:type="dxa"/>
            <w:vAlign w:val="center"/>
          </w:tcPr>
          <w:p w14:paraId="68B887B6"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付款方式</w:t>
            </w:r>
          </w:p>
        </w:tc>
        <w:tc>
          <w:tcPr>
            <w:tcW w:w="4099" w:type="dxa"/>
            <w:gridSpan w:val="3"/>
            <w:vAlign w:val="center"/>
          </w:tcPr>
          <w:p w14:paraId="0A3B4DE0" w14:textId="77777777" w:rsidR="00F751AF" w:rsidRDefault="00000000">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银行转账□      现场交费□</w:t>
            </w:r>
          </w:p>
        </w:tc>
        <w:tc>
          <w:tcPr>
            <w:tcW w:w="1896" w:type="dxa"/>
            <w:vAlign w:val="center"/>
          </w:tcPr>
          <w:p w14:paraId="20274E6A"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金 额</w:t>
            </w:r>
          </w:p>
        </w:tc>
        <w:tc>
          <w:tcPr>
            <w:tcW w:w="2164" w:type="dxa"/>
          </w:tcPr>
          <w:p w14:paraId="1EF7E94A" w14:textId="77777777" w:rsidR="00F751AF" w:rsidRDefault="00F751AF">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p>
        </w:tc>
      </w:tr>
      <w:tr w:rsidR="00F751AF" w14:paraId="202B65BD" w14:textId="77777777">
        <w:trPr>
          <w:trHeight w:val="2585"/>
        </w:trPr>
        <w:tc>
          <w:tcPr>
            <w:tcW w:w="1678" w:type="dxa"/>
            <w:vAlign w:val="center"/>
          </w:tcPr>
          <w:p w14:paraId="2AD2FDAC" w14:textId="77777777" w:rsidR="00F751AF" w:rsidRDefault="00F751AF">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p>
          <w:p w14:paraId="7B5A7038"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收款信息</w:t>
            </w:r>
          </w:p>
        </w:tc>
        <w:tc>
          <w:tcPr>
            <w:tcW w:w="8159" w:type="dxa"/>
            <w:gridSpan w:val="5"/>
            <w:vAlign w:val="center"/>
          </w:tcPr>
          <w:p w14:paraId="57901226" w14:textId="77777777" w:rsidR="00F751AF" w:rsidRDefault="00000000">
            <w:pPr>
              <w:tabs>
                <w:tab w:val="left" w:pos="567"/>
                <w:tab w:val="left" w:pos="709"/>
              </w:tabs>
              <w:spacing w:line="360" w:lineRule="auto"/>
              <w:jc w:val="left"/>
              <w:textAlignment w:val="baseline"/>
              <w:outlineLvl w:val="0"/>
              <w:rPr>
                <w:rFonts w:ascii="仿宋" w:eastAsia="仿宋" w:hAnsi="仿宋" w:cs="仿宋" w:hint="eastAsia"/>
                <w:sz w:val="28"/>
                <w:szCs w:val="28"/>
              </w:rPr>
            </w:pPr>
            <w:r>
              <w:rPr>
                <w:rFonts w:ascii="仿宋" w:eastAsia="仿宋" w:hAnsi="仿宋" w:cs="仿宋" w:hint="eastAsia"/>
                <w:sz w:val="28"/>
                <w:szCs w:val="28"/>
              </w:rPr>
              <w:t>开户名称：北京中建科信管理咨询集团有限公司</w:t>
            </w:r>
          </w:p>
          <w:p w14:paraId="4D1514BE" w14:textId="77777777" w:rsidR="00F751AF" w:rsidRDefault="00000000">
            <w:pPr>
              <w:tabs>
                <w:tab w:val="left" w:pos="567"/>
                <w:tab w:val="left" w:pos="709"/>
              </w:tabs>
              <w:spacing w:line="360" w:lineRule="auto"/>
              <w:jc w:val="left"/>
              <w:textAlignment w:val="baseline"/>
              <w:outlineLvl w:val="0"/>
              <w:rPr>
                <w:rFonts w:ascii="仿宋" w:eastAsia="仿宋" w:hAnsi="仿宋" w:cs="仿宋" w:hint="eastAsia"/>
                <w:sz w:val="28"/>
                <w:szCs w:val="28"/>
              </w:rPr>
            </w:pPr>
            <w:r>
              <w:rPr>
                <w:rFonts w:ascii="仿宋" w:eastAsia="仿宋" w:hAnsi="仿宋" w:cs="仿宋" w:hint="eastAsia"/>
                <w:sz w:val="28"/>
                <w:szCs w:val="28"/>
              </w:rPr>
              <w:t>开 户 行：中国工商银行股份有限公司北京半壁店支行</w:t>
            </w:r>
          </w:p>
          <w:p w14:paraId="3CC9AE2A" w14:textId="77777777" w:rsidR="00F751AF" w:rsidRDefault="00000000">
            <w:pPr>
              <w:tabs>
                <w:tab w:val="left" w:pos="567"/>
                <w:tab w:val="left" w:pos="709"/>
              </w:tabs>
              <w:spacing w:line="360" w:lineRule="auto"/>
              <w:jc w:val="left"/>
              <w:textAlignment w:val="baseline"/>
              <w:outlineLvl w:val="0"/>
              <w:rPr>
                <w:rFonts w:ascii="仿宋" w:eastAsia="仿宋" w:hAnsi="仿宋" w:cs="仿宋" w:hint="eastAsia"/>
                <w:sz w:val="28"/>
                <w:szCs w:val="28"/>
              </w:rPr>
            </w:pPr>
            <w:r>
              <w:rPr>
                <w:rFonts w:ascii="仿宋" w:eastAsia="仿宋" w:hAnsi="仿宋" w:cs="仿宋" w:hint="eastAsia"/>
                <w:sz w:val="28"/>
                <w:szCs w:val="28"/>
              </w:rPr>
              <w:t>账    号：0200247009200068235</w:t>
            </w:r>
          </w:p>
        </w:tc>
      </w:tr>
      <w:tr w:rsidR="00F751AF" w14:paraId="77B0EEA3" w14:textId="77777777">
        <w:trPr>
          <w:trHeight w:val="1458"/>
        </w:trPr>
        <w:tc>
          <w:tcPr>
            <w:tcW w:w="1678" w:type="dxa"/>
            <w:vAlign w:val="center"/>
          </w:tcPr>
          <w:p w14:paraId="3BEACD64" w14:textId="77777777" w:rsidR="00F751AF" w:rsidRDefault="00000000">
            <w:pPr>
              <w:tabs>
                <w:tab w:val="left" w:pos="567"/>
                <w:tab w:val="left" w:pos="709"/>
              </w:tabs>
              <w:spacing w:line="300" w:lineRule="exact"/>
              <w:jc w:val="center"/>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备    注</w:t>
            </w:r>
          </w:p>
        </w:tc>
        <w:tc>
          <w:tcPr>
            <w:tcW w:w="4099" w:type="dxa"/>
            <w:gridSpan w:val="3"/>
            <w:vAlign w:val="center"/>
          </w:tcPr>
          <w:p w14:paraId="39D644FA" w14:textId="77777777" w:rsidR="00F751AF" w:rsidRDefault="00000000">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本课程可根据单位实际需</w:t>
            </w:r>
          </w:p>
          <w:p w14:paraId="6C2107E1" w14:textId="77777777" w:rsidR="00F751AF" w:rsidRDefault="00000000">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求，提供内部培训。</w:t>
            </w:r>
          </w:p>
        </w:tc>
        <w:tc>
          <w:tcPr>
            <w:tcW w:w="4060" w:type="dxa"/>
            <w:gridSpan w:val="2"/>
            <w:vAlign w:val="center"/>
          </w:tcPr>
          <w:p w14:paraId="4A383381" w14:textId="77777777" w:rsidR="00F751AF" w:rsidRDefault="00F751AF">
            <w:pPr>
              <w:tabs>
                <w:tab w:val="left" w:pos="567"/>
                <w:tab w:val="left" w:pos="709"/>
              </w:tabs>
              <w:spacing w:line="300" w:lineRule="exact"/>
              <w:ind w:firstLineChars="100" w:firstLine="280"/>
              <w:textAlignment w:val="baseline"/>
              <w:outlineLvl w:val="0"/>
              <w:rPr>
                <w:rFonts w:ascii="仿宋" w:eastAsia="仿宋" w:hAnsi="仿宋" w:cs="仿宋" w:hint="eastAsia"/>
                <w:bCs/>
                <w:color w:val="000000" w:themeColor="text1"/>
                <w:sz w:val="28"/>
                <w:szCs w:val="28"/>
              </w:rPr>
            </w:pPr>
          </w:p>
          <w:p w14:paraId="691CC3F0" w14:textId="77777777" w:rsidR="00F751AF" w:rsidRDefault="00000000">
            <w:pPr>
              <w:tabs>
                <w:tab w:val="left" w:pos="567"/>
                <w:tab w:val="left" w:pos="709"/>
              </w:tabs>
              <w:spacing w:line="300" w:lineRule="exact"/>
              <w:textAlignment w:val="baseline"/>
              <w:outlineLvl w:val="0"/>
              <w:rPr>
                <w:rFonts w:ascii="仿宋" w:eastAsia="仿宋" w:hAnsi="仿宋" w:cs="仿宋" w:hint="eastAsia"/>
                <w:bCs/>
                <w:color w:val="000000" w:themeColor="text1"/>
                <w:sz w:val="28"/>
                <w:szCs w:val="28"/>
              </w:rPr>
            </w:pPr>
            <w:r>
              <w:rPr>
                <w:rFonts w:ascii="仿宋" w:eastAsia="仿宋" w:hAnsi="仿宋" w:cs="仿宋" w:hint="eastAsia"/>
                <w:bCs/>
                <w:color w:val="000000" w:themeColor="text1"/>
                <w:sz w:val="28"/>
                <w:szCs w:val="28"/>
              </w:rPr>
              <w:t>参加</w:t>
            </w:r>
            <w:r>
              <w:rPr>
                <w:rFonts w:ascii="仿宋" w:eastAsia="仿宋" w:hAnsi="仿宋" w:cs="仿宋"/>
                <w:bCs/>
                <w:color w:val="000000" w:themeColor="text1"/>
                <w:sz w:val="28"/>
                <w:szCs w:val="28"/>
              </w:rPr>
              <w:t>单位</w:t>
            </w:r>
            <w:r>
              <w:rPr>
                <w:rFonts w:ascii="仿宋" w:eastAsia="仿宋" w:hAnsi="仿宋" w:cs="仿宋" w:hint="eastAsia"/>
                <w:bCs/>
                <w:color w:val="000000" w:themeColor="text1"/>
                <w:sz w:val="28"/>
                <w:szCs w:val="28"/>
              </w:rPr>
              <w:t>（盖章）</w:t>
            </w:r>
          </w:p>
          <w:p w14:paraId="0F95B37E" w14:textId="77777777" w:rsidR="00F751AF" w:rsidRDefault="00F751AF">
            <w:pPr>
              <w:pStyle w:val="2"/>
              <w:ind w:left="480" w:firstLine="480"/>
              <w:rPr>
                <w:rFonts w:hint="default"/>
                <w:color w:val="000000" w:themeColor="text1"/>
              </w:rPr>
            </w:pPr>
          </w:p>
          <w:p w14:paraId="7D13B26D" w14:textId="77777777" w:rsidR="00F751AF" w:rsidRDefault="00000000">
            <w:pPr>
              <w:tabs>
                <w:tab w:val="left" w:pos="567"/>
                <w:tab w:val="left" w:pos="709"/>
              </w:tabs>
              <w:spacing w:line="300" w:lineRule="exact"/>
              <w:ind w:firstLineChars="800" w:firstLine="2240"/>
              <w:textAlignment w:val="baseline"/>
              <w:outlineLvl w:val="0"/>
              <w:rPr>
                <w:rFonts w:ascii="仿宋" w:eastAsia="仿宋" w:hAnsi="仿宋" w:cs="仿宋" w:hint="eastAsia"/>
                <w:bCs/>
                <w:color w:val="000000" w:themeColor="text1"/>
                <w:sz w:val="28"/>
                <w:szCs w:val="28"/>
              </w:rPr>
            </w:pPr>
            <w:r>
              <w:rPr>
                <w:rFonts w:ascii="仿宋" w:eastAsia="仿宋" w:hAnsi="仿宋" w:cs="仿宋"/>
                <w:bCs/>
                <w:color w:val="000000" w:themeColor="text1"/>
                <w:sz w:val="28"/>
                <w:szCs w:val="28"/>
              </w:rPr>
              <w:t>年  月  日</w:t>
            </w:r>
          </w:p>
        </w:tc>
      </w:tr>
    </w:tbl>
    <w:p w14:paraId="1D729335" w14:textId="77777777" w:rsidR="00BB2607" w:rsidRPr="00BB2607" w:rsidRDefault="00BB2607" w:rsidP="00BB2607">
      <w:pPr>
        <w:spacing w:line="440" w:lineRule="exact"/>
        <w:ind w:rightChars="-70" w:right="-147"/>
        <w:rPr>
          <w:rFonts w:ascii="仿宋" w:eastAsia="仿宋" w:hAnsi="仿宋" w:cs="仿宋" w:hint="eastAsia"/>
          <w:b/>
          <w:bCs/>
          <w:color w:val="000000" w:themeColor="text1"/>
          <w:sz w:val="28"/>
          <w:szCs w:val="28"/>
        </w:rPr>
      </w:pPr>
      <w:r w:rsidRPr="00BB2607">
        <w:rPr>
          <w:rFonts w:ascii="仿宋" w:eastAsia="仿宋" w:hAnsi="仿宋" w:cs="仿宋" w:hint="eastAsia"/>
          <w:b/>
          <w:bCs/>
          <w:color w:val="000000" w:themeColor="text1"/>
          <w:sz w:val="28"/>
          <w:szCs w:val="28"/>
        </w:rPr>
        <w:t>备注：1、此表可复制，汇总名单后发送至会务组；</w:t>
      </w:r>
    </w:p>
    <w:p w14:paraId="4F8612C6" w14:textId="5FDBD038" w:rsidR="00BB2607" w:rsidRPr="00BB2607" w:rsidRDefault="00BB2607" w:rsidP="00BB2607">
      <w:pPr>
        <w:spacing w:line="440" w:lineRule="exact"/>
        <w:ind w:rightChars="-70" w:right="-147"/>
        <w:rPr>
          <w:rFonts w:ascii="仿宋" w:eastAsia="仿宋" w:hAnsi="仿宋" w:cs="仿宋" w:hint="eastAsia"/>
          <w:b/>
          <w:bCs/>
          <w:color w:val="000000" w:themeColor="text1"/>
          <w:sz w:val="28"/>
          <w:szCs w:val="28"/>
        </w:rPr>
      </w:pPr>
      <w:r w:rsidRPr="00BB2607">
        <w:rPr>
          <w:rFonts w:ascii="仿宋" w:eastAsia="仿宋" w:hAnsi="仿宋" w:cs="仿宋" w:hint="eastAsia"/>
          <w:b/>
          <w:bCs/>
          <w:color w:val="000000" w:themeColor="text1"/>
          <w:sz w:val="28"/>
          <w:szCs w:val="28"/>
        </w:rPr>
        <w:t>2、联系人：</w:t>
      </w:r>
      <w:r>
        <w:rPr>
          <w:rFonts w:ascii="仿宋" w:eastAsia="仿宋" w:hAnsi="仿宋" w:cs="仿宋" w:hint="eastAsia"/>
          <w:b/>
          <w:bCs/>
          <w:color w:val="000000" w:themeColor="text1"/>
          <w:sz w:val="28"/>
          <w:szCs w:val="28"/>
        </w:rPr>
        <w:t>李</w:t>
      </w:r>
      <w:r w:rsidRPr="00BB2607">
        <w:rPr>
          <w:rFonts w:ascii="仿宋" w:eastAsia="仿宋" w:hAnsi="仿宋" w:cs="仿宋" w:hint="eastAsia"/>
          <w:b/>
          <w:bCs/>
          <w:color w:val="000000" w:themeColor="text1"/>
          <w:sz w:val="28"/>
          <w:szCs w:val="28"/>
        </w:rPr>
        <w:t>老师13671212151（同微信）邮箱：1007944993@qq.com</w:t>
      </w:r>
    </w:p>
    <w:p w14:paraId="32A3C4B0" w14:textId="658B0A72" w:rsidR="00F751AF" w:rsidRDefault="00BB2607" w:rsidP="00BB2607">
      <w:pPr>
        <w:spacing w:line="440" w:lineRule="exact"/>
        <w:ind w:rightChars="-70" w:right="-147"/>
        <w:rPr>
          <w:rFonts w:ascii="仿宋" w:eastAsia="仿宋" w:hAnsi="仿宋" w:hint="eastAsia"/>
          <w:color w:val="000000" w:themeColor="text1"/>
          <w:spacing w:val="8"/>
          <w:sz w:val="28"/>
          <w:szCs w:val="28"/>
        </w:rPr>
      </w:pPr>
      <w:r w:rsidRPr="00BB2607">
        <w:rPr>
          <w:rFonts w:ascii="仿宋" w:eastAsia="仿宋" w:hAnsi="仿宋" w:cs="仿宋" w:hint="eastAsia"/>
          <w:b/>
          <w:bCs/>
          <w:color w:val="000000" w:themeColor="text1"/>
          <w:sz w:val="28"/>
          <w:szCs w:val="28"/>
        </w:rPr>
        <w:t>3、电  话/传真：010-82471925  网址：www.guoqp.net</w:t>
      </w:r>
    </w:p>
    <w:sectPr w:rsidR="00F751AF">
      <w:pgSz w:w="11906" w:h="16838"/>
      <w:pgMar w:top="1440" w:right="1519" w:bottom="1440" w:left="151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F4AA9" w14:textId="77777777" w:rsidR="00C90B5E" w:rsidRDefault="00C90B5E" w:rsidP="00BB2607">
      <w:pPr>
        <w:rPr>
          <w:rFonts w:hint="eastAsia"/>
        </w:rPr>
      </w:pPr>
      <w:r>
        <w:separator/>
      </w:r>
    </w:p>
  </w:endnote>
  <w:endnote w:type="continuationSeparator" w:id="0">
    <w:p w14:paraId="47CFA3D6" w14:textId="77777777" w:rsidR="00C90B5E" w:rsidRDefault="00C90B5E" w:rsidP="00BB26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embedRegular r:id="rId1" w:subsetted="1" w:fontKey="{D2B23B71-818B-4ACE-9DAD-6C71C9285D6E}"/>
    <w:embedBold r:id="rId2" w:subsetted="1" w:fontKey="{2D4C04D0-0728-4A14-9D27-CB78FA6E4121}"/>
  </w:font>
  <w:font w:name="华文中宋">
    <w:panose1 w:val="02010600040101010101"/>
    <w:charset w:val="86"/>
    <w:family w:val="auto"/>
    <w:pitch w:val="variable"/>
    <w:sig w:usb0="00000287" w:usb1="080F0000" w:usb2="00000010" w:usb3="00000000" w:csb0="0004009F" w:csb1="00000000"/>
  </w:font>
  <w:font w:name="方正公文小标宋">
    <w:charset w:val="86"/>
    <w:family w:val="auto"/>
    <w:pitch w:val="default"/>
    <w:sig w:usb0="A00002BF" w:usb1="38CF7CFA" w:usb2="00000016" w:usb3="00000000" w:csb0="00040001" w:csb1="00000000"/>
    <w:embedRegular r:id="rId3" w:subsetted="1" w:fontKey="{3BD7DC85-9808-4EB5-A5D0-CF1F3DB98506}"/>
  </w:font>
  <w:font w:name="微软雅黑">
    <w:panose1 w:val="020B0503020204020204"/>
    <w:charset w:val="86"/>
    <w:family w:val="swiss"/>
    <w:pitch w:val="variable"/>
    <w:sig w:usb0="80000287" w:usb1="2ACF3C50" w:usb2="00000016" w:usb3="00000000" w:csb0="0004001F" w:csb1="00000000"/>
    <w:embedBold r:id="rId4" w:subsetted="1" w:fontKey="{AC3668A2-3A9B-49C9-B32F-A81C2B67FC4F}"/>
  </w:font>
  <w:font w:name="黑体">
    <w:altName w:val="SimHei"/>
    <w:panose1 w:val="02010609060101010101"/>
    <w:charset w:val="86"/>
    <w:family w:val="modern"/>
    <w:pitch w:val="fixed"/>
    <w:sig w:usb0="800002BF" w:usb1="38CF7CFA" w:usb2="00000016" w:usb3="00000000" w:csb0="00040001" w:csb1="00000000"/>
    <w:embedBold r:id="rId5" w:subsetted="1" w:fontKey="{91266A88-E677-45C6-8265-0D9CA0362F72}"/>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9559" w14:textId="77777777" w:rsidR="00C90B5E" w:rsidRDefault="00C90B5E" w:rsidP="00BB2607">
      <w:pPr>
        <w:rPr>
          <w:rFonts w:hint="eastAsia"/>
        </w:rPr>
      </w:pPr>
      <w:r>
        <w:separator/>
      </w:r>
    </w:p>
  </w:footnote>
  <w:footnote w:type="continuationSeparator" w:id="0">
    <w:p w14:paraId="1B2187F9" w14:textId="77777777" w:rsidR="00C90B5E" w:rsidRDefault="00C90B5E" w:rsidP="00BB260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gzNDM4Y2FiYTQ0ZDExNjg0MjEzZDViYjkxMTI4NDIifQ=="/>
  </w:docVars>
  <w:rsids>
    <w:rsidRoot w:val="00D51FAA"/>
    <w:rsid w:val="00000508"/>
    <w:rsid w:val="00037700"/>
    <w:rsid w:val="00084460"/>
    <w:rsid w:val="000A17E5"/>
    <w:rsid w:val="000A4852"/>
    <w:rsid w:val="000A5A9D"/>
    <w:rsid w:val="000D6B55"/>
    <w:rsid w:val="000E1574"/>
    <w:rsid w:val="000E204B"/>
    <w:rsid w:val="001234DF"/>
    <w:rsid w:val="001815E2"/>
    <w:rsid w:val="001A64D3"/>
    <w:rsid w:val="001B7E39"/>
    <w:rsid w:val="001E6722"/>
    <w:rsid w:val="002202BE"/>
    <w:rsid w:val="00231F16"/>
    <w:rsid w:val="0025634D"/>
    <w:rsid w:val="00263FBD"/>
    <w:rsid w:val="00265282"/>
    <w:rsid w:val="00266CDF"/>
    <w:rsid w:val="00272A46"/>
    <w:rsid w:val="002749C9"/>
    <w:rsid w:val="0027718C"/>
    <w:rsid w:val="002842F3"/>
    <w:rsid w:val="00292E6A"/>
    <w:rsid w:val="002D0407"/>
    <w:rsid w:val="002D3499"/>
    <w:rsid w:val="003144E6"/>
    <w:rsid w:val="00327A7D"/>
    <w:rsid w:val="00342E6E"/>
    <w:rsid w:val="0038106F"/>
    <w:rsid w:val="003C409A"/>
    <w:rsid w:val="003F099E"/>
    <w:rsid w:val="00406D20"/>
    <w:rsid w:val="00412275"/>
    <w:rsid w:val="0042621A"/>
    <w:rsid w:val="0044681F"/>
    <w:rsid w:val="00447DB3"/>
    <w:rsid w:val="00455750"/>
    <w:rsid w:val="00464B66"/>
    <w:rsid w:val="00476D6E"/>
    <w:rsid w:val="00480F5F"/>
    <w:rsid w:val="00484633"/>
    <w:rsid w:val="004A6EFA"/>
    <w:rsid w:val="004C036A"/>
    <w:rsid w:val="004F014E"/>
    <w:rsid w:val="00545C93"/>
    <w:rsid w:val="00594AD1"/>
    <w:rsid w:val="005A569B"/>
    <w:rsid w:val="005C4CD4"/>
    <w:rsid w:val="005C56FC"/>
    <w:rsid w:val="005D185D"/>
    <w:rsid w:val="005D781B"/>
    <w:rsid w:val="005F0B6F"/>
    <w:rsid w:val="00615433"/>
    <w:rsid w:val="00624B79"/>
    <w:rsid w:val="00650467"/>
    <w:rsid w:val="00650EEF"/>
    <w:rsid w:val="006557C2"/>
    <w:rsid w:val="006672EF"/>
    <w:rsid w:val="00671A31"/>
    <w:rsid w:val="0067446E"/>
    <w:rsid w:val="00682707"/>
    <w:rsid w:val="006836BA"/>
    <w:rsid w:val="00687C2D"/>
    <w:rsid w:val="00693CB1"/>
    <w:rsid w:val="006A2ADA"/>
    <w:rsid w:val="006C5089"/>
    <w:rsid w:val="006C6CA9"/>
    <w:rsid w:val="006D402B"/>
    <w:rsid w:val="007055F1"/>
    <w:rsid w:val="0070729C"/>
    <w:rsid w:val="0074601B"/>
    <w:rsid w:val="007554FC"/>
    <w:rsid w:val="00770C10"/>
    <w:rsid w:val="00772C12"/>
    <w:rsid w:val="007D1096"/>
    <w:rsid w:val="008033D8"/>
    <w:rsid w:val="0082209D"/>
    <w:rsid w:val="00830220"/>
    <w:rsid w:val="00832F5A"/>
    <w:rsid w:val="008404E0"/>
    <w:rsid w:val="008753AE"/>
    <w:rsid w:val="00886602"/>
    <w:rsid w:val="008F516C"/>
    <w:rsid w:val="00914EBA"/>
    <w:rsid w:val="00947FFC"/>
    <w:rsid w:val="00966889"/>
    <w:rsid w:val="009B20C6"/>
    <w:rsid w:val="009C15B0"/>
    <w:rsid w:val="009C49B0"/>
    <w:rsid w:val="009C4CB6"/>
    <w:rsid w:val="009F5606"/>
    <w:rsid w:val="00A244AC"/>
    <w:rsid w:val="00AD6F56"/>
    <w:rsid w:val="00B05DFF"/>
    <w:rsid w:val="00B55E7C"/>
    <w:rsid w:val="00BB2607"/>
    <w:rsid w:val="00BB2B72"/>
    <w:rsid w:val="00BC3588"/>
    <w:rsid w:val="00C26406"/>
    <w:rsid w:val="00C37349"/>
    <w:rsid w:val="00C54CDA"/>
    <w:rsid w:val="00C64E76"/>
    <w:rsid w:val="00C90B5E"/>
    <w:rsid w:val="00C918E2"/>
    <w:rsid w:val="00C94641"/>
    <w:rsid w:val="00CB3A61"/>
    <w:rsid w:val="00CC6EA9"/>
    <w:rsid w:val="00CC72ED"/>
    <w:rsid w:val="00CE06C5"/>
    <w:rsid w:val="00D14AE9"/>
    <w:rsid w:val="00D21338"/>
    <w:rsid w:val="00D51FAA"/>
    <w:rsid w:val="00D613DB"/>
    <w:rsid w:val="00D948A5"/>
    <w:rsid w:val="00DA6AE7"/>
    <w:rsid w:val="00DC72ED"/>
    <w:rsid w:val="00DF08E3"/>
    <w:rsid w:val="00E319C5"/>
    <w:rsid w:val="00E53EF0"/>
    <w:rsid w:val="00E826A8"/>
    <w:rsid w:val="00E86FBD"/>
    <w:rsid w:val="00E90724"/>
    <w:rsid w:val="00E922E5"/>
    <w:rsid w:val="00EC12C0"/>
    <w:rsid w:val="00EE50FD"/>
    <w:rsid w:val="00F674BD"/>
    <w:rsid w:val="00F707DD"/>
    <w:rsid w:val="00F751AF"/>
    <w:rsid w:val="00F814AB"/>
    <w:rsid w:val="00F828B6"/>
    <w:rsid w:val="00FA1C1A"/>
    <w:rsid w:val="00FA1D2A"/>
    <w:rsid w:val="00FA338C"/>
    <w:rsid w:val="00FB33B5"/>
    <w:rsid w:val="00FB5E44"/>
    <w:rsid w:val="01EF20C6"/>
    <w:rsid w:val="02C866AB"/>
    <w:rsid w:val="02DF39F5"/>
    <w:rsid w:val="033B50CF"/>
    <w:rsid w:val="034B42C3"/>
    <w:rsid w:val="034C3C31"/>
    <w:rsid w:val="04812FB5"/>
    <w:rsid w:val="0490144A"/>
    <w:rsid w:val="06252E77"/>
    <w:rsid w:val="06D7510F"/>
    <w:rsid w:val="07034156"/>
    <w:rsid w:val="07302A71"/>
    <w:rsid w:val="07852DBD"/>
    <w:rsid w:val="07943000"/>
    <w:rsid w:val="09D73678"/>
    <w:rsid w:val="0A1D552E"/>
    <w:rsid w:val="0A3E36F7"/>
    <w:rsid w:val="0A967156"/>
    <w:rsid w:val="0AD007F3"/>
    <w:rsid w:val="0B106E41"/>
    <w:rsid w:val="0BC1638D"/>
    <w:rsid w:val="0BCB0FBA"/>
    <w:rsid w:val="0BFC73C5"/>
    <w:rsid w:val="0C1C1816"/>
    <w:rsid w:val="0CA5180B"/>
    <w:rsid w:val="0D0E5602"/>
    <w:rsid w:val="0D441024"/>
    <w:rsid w:val="0D815DD4"/>
    <w:rsid w:val="0DB241E0"/>
    <w:rsid w:val="0DD156DA"/>
    <w:rsid w:val="0DF2116D"/>
    <w:rsid w:val="0E3C32D3"/>
    <w:rsid w:val="0F4B5D64"/>
    <w:rsid w:val="0F7756E1"/>
    <w:rsid w:val="0F783207"/>
    <w:rsid w:val="10725EA8"/>
    <w:rsid w:val="111B02EE"/>
    <w:rsid w:val="11673533"/>
    <w:rsid w:val="14942891"/>
    <w:rsid w:val="14AD738E"/>
    <w:rsid w:val="15015A4D"/>
    <w:rsid w:val="15773C83"/>
    <w:rsid w:val="161750A6"/>
    <w:rsid w:val="164125A5"/>
    <w:rsid w:val="1686445B"/>
    <w:rsid w:val="169E79F7"/>
    <w:rsid w:val="16E4489F"/>
    <w:rsid w:val="17936E30"/>
    <w:rsid w:val="18041ADC"/>
    <w:rsid w:val="18100480"/>
    <w:rsid w:val="189F1804"/>
    <w:rsid w:val="18F97167"/>
    <w:rsid w:val="190D3CAF"/>
    <w:rsid w:val="194A79C2"/>
    <w:rsid w:val="19B65058"/>
    <w:rsid w:val="1A27306A"/>
    <w:rsid w:val="1B23671D"/>
    <w:rsid w:val="1C2564C4"/>
    <w:rsid w:val="1D1C1676"/>
    <w:rsid w:val="1D94437F"/>
    <w:rsid w:val="1EA638ED"/>
    <w:rsid w:val="1F0C571A"/>
    <w:rsid w:val="1F7D3C3E"/>
    <w:rsid w:val="200A7EAB"/>
    <w:rsid w:val="201E5705"/>
    <w:rsid w:val="20996A84"/>
    <w:rsid w:val="20E406FC"/>
    <w:rsid w:val="21470C8B"/>
    <w:rsid w:val="21584C46"/>
    <w:rsid w:val="22162B37"/>
    <w:rsid w:val="225418B2"/>
    <w:rsid w:val="22C5630B"/>
    <w:rsid w:val="22DB5B2F"/>
    <w:rsid w:val="23A83C63"/>
    <w:rsid w:val="23B56380"/>
    <w:rsid w:val="24172B97"/>
    <w:rsid w:val="24206BFA"/>
    <w:rsid w:val="243E6375"/>
    <w:rsid w:val="24457704"/>
    <w:rsid w:val="25453733"/>
    <w:rsid w:val="25916E66"/>
    <w:rsid w:val="26D134D1"/>
    <w:rsid w:val="27322CEB"/>
    <w:rsid w:val="27FA3FBF"/>
    <w:rsid w:val="28347296"/>
    <w:rsid w:val="286345FC"/>
    <w:rsid w:val="28F8538E"/>
    <w:rsid w:val="290C6A42"/>
    <w:rsid w:val="29114058"/>
    <w:rsid w:val="294F2DD3"/>
    <w:rsid w:val="29CB06AB"/>
    <w:rsid w:val="29EE2863"/>
    <w:rsid w:val="2A3F4BF5"/>
    <w:rsid w:val="2B7C67AE"/>
    <w:rsid w:val="2BA2543C"/>
    <w:rsid w:val="2BF85682"/>
    <w:rsid w:val="2C2105F0"/>
    <w:rsid w:val="2CA06C68"/>
    <w:rsid w:val="2CFC6DCE"/>
    <w:rsid w:val="2D83129D"/>
    <w:rsid w:val="2E020414"/>
    <w:rsid w:val="30450A8C"/>
    <w:rsid w:val="3087555D"/>
    <w:rsid w:val="309C68FD"/>
    <w:rsid w:val="317E4255"/>
    <w:rsid w:val="327570DE"/>
    <w:rsid w:val="32851613"/>
    <w:rsid w:val="32902492"/>
    <w:rsid w:val="32A777DC"/>
    <w:rsid w:val="3333106F"/>
    <w:rsid w:val="34D50630"/>
    <w:rsid w:val="35544EB1"/>
    <w:rsid w:val="35EF5721"/>
    <w:rsid w:val="365B2DB7"/>
    <w:rsid w:val="37465815"/>
    <w:rsid w:val="377F2AD5"/>
    <w:rsid w:val="37A97B52"/>
    <w:rsid w:val="37E312B6"/>
    <w:rsid w:val="380F16DC"/>
    <w:rsid w:val="38997BC6"/>
    <w:rsid w:val="38E80F6D"/>
    <w:rsid w:val="3A4D1D60"/>
    <w:rsid w:val="3A9C399E"/>
    <w:rsid w:val="3AC84793"/>
    <w:rsid w:val="3B007A89"/>
    <w:rsid w:val="3B0752BB"/>
    <w:rsid w:val="3B11613A"/>
    <w:rsid w:val="3B117EE8"/>
    <w:rsid w:val="3C97266F"/>
    <w:rsid w:val="3CDC4526"/>
    <w:rsid w:val="3DDC2A2F"/>
    <w:rsid w:val="3DFC4E7F"/>
    <w:rsid w:val="3F0D4E6A"/>
    <w:rsid w:val="3F7B0026"/>
    <w:rsid w:val="3FE23E26"/>
    <w:rsid w:val="402D39CB"/>
    <w:rsid w:val="41196D42"/>
    <w:rsid w:val="419C7DEA"/>
    <w:rsid w:val="41A01FC6"/>
    <w:rsid w:val="42237912"/>
    <w:rsid w:val="4286357D"/>
    <w:rsid w:val="42FC76D0"/>
    <w:rsid w:val="43CC70A2"/>
    <w:rsid w:val="43E73EDC"/>
    <w:rsid w:val="4404683C"/>
    <w:rsid w:val="44BA339E"/>
    <w:rsid w:val="44C8242D"/>
    <w:rsid w:val="4531037F"/>
    <w:rsid w:val="459B4F7E"/>
    <w:rsid w:val="459C0CF6"/>
    <w:rsid w:val="45A94AFE"/>
    <w:rsid w:val="45B65486"/>
    <w:rsid w:val="45CD7101"/>
    <w:rsid w:val="46192347"/>
    <w:rsid w:val="46244F73"/>
    <w:rsid w:val="4781076D"/>
    <w:rsid w:val="47C942DE"/>
    <w:rsid w:val="480212E4"/>
    <w:rsid w:val="48C12F4D"/>
    <w:rsid w:val="4A387D41"/>
    <w:rsid w:val="4AB64608"/>
    <w:rsid w:val="4AB8212E"/>
    <w:rsid w:val="4B1D6435"/>
    <w:rsid w:val="4B4C153B"/>
    <w:rsid w:val="4B814C16"/>
    <w:rsid w:val="4BC114B6"/>
    <w:rsid w:val="4C5B5467"/>
    <w:rsid w:val="4D5519C8"/>
    <w:rsid w:val="4D933821"/>
    <w:rsid w:val="4D977639"/>
    <w:rsid w:val="4E7E348D"/>
    <w:rsid w:val="4F052825"/>
    <w:rsid w:val="4F95546D"/>
    <w:rsid w:val="4FD55530"/>
    <w:rsid w:val="5004187B"/>
    <w:rsid w:val="501778F7"/>
    <w:rsid w:val="50414974"/>
    <w:rsid w:val="519D207E"/>
    <w:rsid w:val="53590226"/>
    <w:rsid w:val="53803A05"/>
    <w:rsid w:val="538C23AA"/>
    <w:rsid w:val="53CB2ED2"/>
    <w:rsid w:val="53F51CFD"/>
    <w:rsid w:val="545306B4"/>
    <w:rsid w:val="55F07A61"/>
    <w:rsid w:val="55FC102D"/>
    <w:rsid w:val="55FF9B2E"/>
    <w:rsid w:val="563A5319"/>
    <w:rsid w:val="56680EAC"/>
    <w:rsid w:val="56890E23"/>
    <w:rsid w:val="568E6439"/>
    <w:rsid w:val="5773C710"/>
    <w:rsid w:val="57E26A3C"/>
    <w:rsid w:val="590F3861"/>
    <w:rsid w:val="5963656D"/>
    <w:rsid w:val="5A985301"/>
    <w:rsid w:val="5C133668"/>
    <w:rsid w:val="5C89392A"/>
    <w:rsid w:val="5CAA0600"/>
    <w:rsid w:val="5CCF2C88"/>
    <w:rsid w:val="5DCA41FA"/>
    <w:rsid w:val="5E8F31A2"/>
    <w:rsid w:val="5F17C656"/>
    <w:rsid w:val="5F742670"/>
    <w:rsid w:val="5FBA6029"/>
    <w:rsid w:val="60883C70"/>
    <w:rsid w:val="611117BC"/>
    <w:rsid w:val="61131A15"/>
    <w:rsid w:val="61DF3FED"/>
    <w:rsid w:val="61E539EF"/>
    <w:rsid w:val="62015ADE"/>
    <w:rsid w:val="629B6165"/>
    <w:rsid w:val="62F53AC8"/>
    <w:rsid w:val="63C72C14"/>
    <w:rsid w:val="65611773"/>
    <w:rsid w:val="6603474E"/>
    <w:rsid w:val="66682803"/>
    <w:rsid w:val="690E2E58"/>
    <w:rsid w:val="693115D2"/>
    <w:rsid w:val="697274F4"/>
    <w:rsid w:val="6A333127"/>
    <w:rsid w:val="6A6E7CFF"/>
    <w:rsid w:val="6A8A71EB"/>
    <w:rsid w:val="6AB9187F"/>
    <w:rsid w:val="6B4A697B"/>
    <w:rsid w:val="6B5E13C7"/>
    <w:rsid w:val="6BBD7303"/>
    <w:rsid w:val="6C88775B"/>
    <w:rsid w:val="6CD67880"/>
    <w:rsid w:val="6D0B2E97"/>
    <w:rsid w:val="6D3B2A1F"/>
    <w:rsid w:val="6DC02F24"/>
    <w:rsid w:val="6E533D98"/>
    <w:rsid w:val="6E677844"/>
    <w:rsid w:val="6ED99B81"/>
    <w:rsid w:val="6FAAA0DD"/>
    <w:rsid w:val="6FAF14A2"/>
    <w:rsid w:val="704240C4"/>
    <w:rsid w:val="7137174F"/>
    <w:rsid w:val="719B1CDE"/>
    <w:rsid w:val="72086956"/>
    <w:rsid w:val="720930EC"/>
    <w:rsid w:val="722C6DDA"/>
    <w:rsid w:val="72DC5162"/>
    <w:rsid w:val="72DF209E"/>
    <w:rsid w:val="730B4C41"/>
    <w:rsid w:val="73706D62"/>
    <w:rsid w:val="73BF22DB"/>
    <w:rsid w:val="73CA4470"/>
    <w:rsid w:val="7420471D"/>
    <w:rsid w:val="749B0247"/>
    <w:rsid w:val="759E7FEF"/>
    <w:rsid w:val="75F37E27"/>
    <w:rsid w:val="75FC2F67"/>
    <w:rsid w:val="769A6A08"/>
    <w:rsid w:val="77161E07"/>
    <w:rsid w:val="778B59B2"/>
    <w:rsid w:val="77E837A3"/>
    <w:rsid w:val="78771BB8"/>
    <w:rsid w:val="788B5230"/>
    <w:rsid w:val="78C37D6C"/>
    <w:rsid w:val="79E22D53"/>
    <w:rsid w:val="79EFE92F"/>
    <w:rsid w:val="7A794B87"/>
    <w:rsid w:val="7ABB519F"/>
    <w:rsid w:val="7B534407"/>
    <w:rsid w:val="7BF3D07E"/>
    <w:rsid w:val="7BFD9E9D"/>
    <w:rsid w:val="7C1E59E5"/>
    <w:rsid w:val="7C991510"/>
    <w:rsid w:val="7CB400F8"/>
    <w:rsid w:val="7CD3D88D"/>
    <w:rsid w:val="7D1E1A15"/>
    <w:rsid w:val="7D7A4967"/>
    <w:rsid w:val="7DAB14FB"/>
    <w:rsid w:val="7DD1292C"/>
    <w:rsid w:val="7DDEE21D"/>
    <w:rsid w:val="7F480FCB"/>
    <w:rsid w:val="7F840255"/>
    <w:rsid w:val="7FF34603"/>
    <w:rsid w:val="7FFD6EDF"/>
    <w:rsid w:val="B3DFA468"/>
    <w:rsid w:val="BFFF538A"/>
    <w:rsid w:val="CCF6F1B0"/>
    <w:rsid w:val="DFBB5A45"/>
    <w:rsid w:val="E69ECEE0"/>
    <w:rsid w:val="E6FF0A08"/>
    <w:rsid w:val="EEEB136F"/>
    <w:rsid w:val="F7BF8CD1"/>
    <w:rsid w:val="FDFF39C8"/>
    <w:rsid w:val="FEF75950"/>
    <w:rsid w:val="FFBC8DD8"/>
    <w:rsid w:val="FFFB9CBF"/>
    <w:rsid w:val="FFFCE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D1664C9"/>
  <w15:docId w15:val="{33C16B62-C743-43E0-A981-F9C12E38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qFormat/>
    <w:pPr>
      <w:spacing w:after="120"/>
      <w:ind w:leftChars="200" w:left="420"/>
    </w:pPr>
  </w:style>
  <w:style w:type="paragraph" w:styleId="a5">
    <w:name w:val="footer"/>
    <w:basedOn w:val="a"/>
    <w:next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3"/>
    <w:next w:val="a"/>
    <w:link w:val="20"/>
    <w:uiPriority w:val="99"/>
    <w:qFormat/>
    <w:pPr>
      <w:tabs>
        <w:tab w:val="left" w:pos="-1440"/>
      </w:tabs>
      <w:autoSpaceDE w:val="0"/>
      <w:autoSpaceDN w:val="0"/>
      <w:adjustRightInd w:val="0"/>
      <w:spacing w:after="0" w:line="360" w:lineRule="auto"/>
      <w:ind w:leftChars="0" w:left="176" w:firstLineChars="200" w:firstLine="420"/>
      <w:jc w:val="left"/>
    </w:pPr>
    <w:rPr>
      <w:rFonts w:ascii="仿宋" w:eastAsia="仿宋" w:hAnsi="Times New Roman" w:cs="Times New Roman" w:hint="eastAsia"/>
      <w:sz w:val="24"/>
      <w:szCs w:val="24"/>
    </w:rPr>
  </w:style>
  <w:style w:type="character" w:styleId="aa">
    <w:name w:val="Strong"/>
    <w:basedOn w:val="a0"/>
    <w:uiPriority w:val="99"/>
    <w:qFormat/>
    <w:rPr>
      <w:rFonts w:cs="Times New Roman"/>
      <w:b/>
      <w:bCs/>
    </w:rPr>
  </w:style>
  <w:style w:type="character" w:styleId="ab">
    <w:name w:val="Emphasis"/>
    <w:basedOn w:val="a0"/>
    <w:uiPriority w:val="20"/>
    <w:qFormat/>
    <w:rPr>
      <w:i/>
      <w:iCs/>
    </w:rPr>
  </w:style>
  <w:style w:type="character" w:styleId="ac">
    <w:name w:val="Hyperlink"/>
    <w:basedOn w:val="a0"/>
    <w:uiPriority w:val="99"/>
    <w:unhideWhenUsed/>
    <w:qFormat/>
    <w:rPr>
      <w:color w:val="0563C1" w:themeColor="hyperlink"/>
      <w:u w:val="single"/>
    </w:rPr>
  </w:style>
  <w:style w:type="character" w:customStyle="1" w:styleId="a4">
    <w:name w:val="正文文本缩进 字符"/>
    <w:basedOn w:val="a0"/>
    <w:link w:val="a3"/>
    <w:uiPriority w:val="99"/>
    <w:semiHidden/>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20">
    <w:name w:val="正文文本首行缩进 2 字符"/>
    <w:basedOn w:val="a4"/>
    <w:link w:val="2"/>
    <w:uiPriority w:val="99"/>
    <w:qFormat/>
    <w:rPr>
      <w:rFonts w:ascii="仿宋" w:eastAsia="仿宋" w:hAnsi="Times New Roman" w:cs="Times New Roman"/>
      <w:sz w:val="24"/>
      <w:szCs w:val="24"/>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aike.so.com/doc/3296910-3472858.html"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aike.so.com/doc/5568745-5783922.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aike.so.com/doc/5383824-5620225.html" TargetMode="External"/><Relationship Id="rId4" Type="http://schemas.openxmlformats.org/officeDocument/2006/relationships/webSettings" Target="webSettings.xml"/><Relationship Id="rId9" Type="http://schemas.openxmlformats.org/officeDocument/2006/relationships/hyperlink" Target="https://baike.so.com/doc/871579-921482.html"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启 李</cp:lastModifiedBy>
  <cp:revision>11</cp:revision>
  <cp:lastPrinted>2023-05-09T02:47:00Z</cp:lastPrinted>
  <dcterms:created xsi:type="dcterms:W3CDTF">2025-08-26T16:28:00Z</dcterms:created>
  <dcterms:modified xsi:type="dcterms:W3CDTF">2026-02-24T04:13:00Z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7321570F5FEC4DD1AADF2A5DFC4F8227_13</vt:lpwstr>
  </property>
  <property fmtid="{D5CDD505-2E9C-101B-9397-08002B2CF9AE}" pid="4" name="KSOTemplateDocerSaveRecord">
    <vt:lpwstr>eyJoZGlkIjoiMzgzNDM4Y2FiYTQ0ZDExNjg0MjEzZDViYjkxMTI4NDIiLCJ1c2VySWQiOiIzMTQ2NDA1MCJ9</vt:lpwstr>
  </property>
</Properties>
</file>