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E670" w14:textId="77777777" w:rsidR="00861379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企培企业管理中心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3EB215DA" w14:textId="594C0357" w:rsidR="00861379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B4FE" wp14:editId="63814E0A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59264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〕0</w:t>
      </w:r>
      <w:r w:rsidR="006B61DD"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>4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50FD2AC1" w14:textId="763B2379" w:rsidR="00861379" w:rsidRPr="00BF0F1A" w:rsidRDefault="00000000" w:rsidP="00BF0F1A">
      <w:pPr>
        <w:spacing w:beforeLines="100" w:before="320" w:line="480" w:lineRule="exact"/>
        <w:jc w:val="center"/>
        <w:rPr>
          <w:rFonts w:ascii="微软雅黑" w:eastAsia="微软雅黑" w:hAnsi="微软雅黑" w:cs="仿宋" w:hint="eastAsia"/>
          <w:b/>
          <w:spacing w:val="-6"/>
          <w:sz w:val="32"/>
          <w:szCs w:val="32"/>
        </w:rPr>
      </w:pPr>
      <w:bookmarkStart w:id="0" w:name="_Hlk166531344"/>
      <w:r w:rsidRPr="00BF0F1A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关于举办</w:t>
      </w:r>
      <w:r w:rsidR="003C710C" w:rsidRPr="003C710C"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>数智化时代企业核心骨干（内训师）能力提升暨AI提效能，企业内部矩阵式学习布局经验萃取与表达</w:t>
      </w:r>
      <w:r w:rsidR="003C710C"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>实战认证</w:t>
      </w:r>
      <w:r w:rsidR="00BF0F1A"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 xml:space="preserve">               </w:t>
      </w:r>
      <w:r w:rsidRPr="00BF0F1A"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>专题</w:t>
      </w:r>
      <w:r w:rsidRPr="00BF0F1A"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培训班的通知</w:t>
      </w:r>
    </w:p>
    <w:bookmarkEnd w:id="0"/>
    <w:p w14:paraId="1B5E10CC" w14:textId="77777777" w:rsidR="00861379" w:rsidRDefault="00861379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02B71E0E" w14:textId="77777777" w:rsidR="00861379" w:rsidRDefault="00000000" w:rsidP="00BF0F1A">
      <w:pPr>
        <w:widowControl/>
        <w:adjustRightInd w:val="0"/>
        <w:snapToGrid w:val="0"/>
        <w:spacing w:line="340" w:lineRule="exact"/>
        <w:jc w:val="left"/>
        <w:rPr>
          <w:rFonts w:ascii="微软雅黑" w:eastAsia="微软雅黑" w:hAnsi="微软雅黑" w:cs="宋体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256EE006" w14:textId="77777777" w:rsidR="00855DEC" w:rsidRPr="00855DEC" w:rsidRDefault="00855DEC" w:rsidP="00855DEC">
      <w:pPr>
        <w:spacing w:line="340" w:lineRule="exact"/>
        <w:ind w:firstLineChars="200" w:firstLine="512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855DE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随着数智化时代的到来，创新就是新质生产力。创新是加快构建新发展格局，着力推动高质量发展重要条件，建设现代化产业体系，就要坚持把发展经济的着力点放在实体经济上，推进新型工业化，加快建设制造强国、质量强国、航天强国、交通强国、网络强国、数字中国。要实现这一目标，企业现有核心骨干是核心，他们拥有丰富的经验与技术。而新入司员工是实现这一目标的未来，他们接受过更好的教育、拥有良好的网络和数字思维、以及独特的创新思维。那么如何有效的将这些经验与数智化思维结构，就需要我们核心骨干变身为企业内训师，将优秀的经验与技术传承，并学习数字化技术有效的与新生代接轨，以实现二0三五计划的实现。</w:t>
      </w:r>
    </w:p>
    <w:p w14:paraId="4608BE8D" w14:textId="29951AC7" w:rsidR="00861379" w:rsidRDefault="00855DEC" w:rsidP="00855DEC">
      <w:pPr>
        <w:spacing w:line="340" w:lineRule="exact"/>
        <w:ind w:firstLineChars="200" w:firstLine="512"/>
        <w:rPr>
          <w:rFonts w:ascii="微软雅黑" w:eastAsia="微软雅黑" w:hAnsi="微软雅黑" w:cs="Times New Roman" w:hint="eastAsia"/>
          <w:b/>
          <w:sz w:val="24"/>
          <w:szCs w:val="24"/>
        </w:rPr>
      </w:pPr>
      <w:r w:rsidRPr="00855DE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我中心特组织有关专家进行授课，</w:t>
      </w:r>
      <w:r w:rsidRPr="006B61DD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举办数智化时代企业核心骨干（内训师）能力提升暨AI提效能，企业内部矩阵式学习布局经验萃取与表达专题培训班</w:t>
      </w:r>
      <w:r w:rsidRPr="00855DEC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，本课程将从系统的企业内部课程体系建设、企业内部矩阵布局，及如何萃取有效的经验并形成线上、线下课程，讲师如何通过表达，将知识有效的传承等内容进行系统的讲解，</w:t>
      </w:r>
      <w:r w:rsidRPr="00855DEC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请各单位积极组织相关人员参加，现将有关事项通知如下：</w:t>
      </w:r>
    </w:p>
    <w:p w14:paraId="5882FB4B" w14:textId="77777777" w:rsidR="00861379" w:rsidRDefault="00000000" w:rsidP="00BF0F1A">
      <w:pPr>
        <w:spacing w:line="340" w:lineRule="exact"/>
        <w:ind w:firstLineChars="118" w:firstLine="283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一、培训内容：</w:t>
      </w:r>
    </w:p>
    <w:p w14:paraId="327EE2A9" w14:textId="77777777" w:rsidR="006B61DD" w:rsidRPr="00F5036F" w:rsidRDefault="006B61DD" w:rsidP="006B61DD">
      <w:pPr>
        <w:widowControl/>
        <w:snapToGrid w:val="0"/>
        <w:spacing w:line="340" w:lineRule="exact"/>
        <w:ind w:firstLineChars="59" w:firstLine="142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（一）数智化时代内训师体系建设与学习矩阵布局</w:t>
      </w:r>
    </w:p>
    <w:p w14:paraId="48CA3E9E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1、企业内训师体系建设的意义</w:t>
      </w:r>
    </w:p>
    <w:p w14:paraId="11D10958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1）内训师——一个神圣而有意义的职业</w:t>
      </w:r>
    </w:p>
    <w:p w14:paraId="1B60358F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2）内训师的四大价值</w:t>
      </w:r>
    </w:p>
    <w:p w14:paraId="54F37874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3）内训师是一座容易被老板发现的宝藏</w:t>
      </w:r>
    </w:p>
    <w:p w14:paraId="1B60DB40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2、新媒体时代企业内训师体系落地思考</w:t>
      </w:r>
    </w:p>
    <w:p w14:paraId="6DC7E94F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1）数智化时代内训师体系建设应该做什么？</w:t>
      </w:r>
    </w:p>
    <w:p w14:paraId="294E6B58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2）企业内训师体系落地“反漏斗模型”</w:t>
      </w:r>
    </w:p>
    <w:p w14:paraId="4078DB52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3）企业内训师课程建设全流程</w:t>
      </w:r>
    </w:p>
    <w:p w14:paraId="7782B626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4）数智化时代学习形式的结构</w:t>
      </w:r>
    </w:p>
    <w:p w14:paraId="6C92B614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5）数智化时代常见的课程开发方式</w:t>
      </w:r>
    </w:p>
    <w:p w14:paraId="53601B38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6）新媒休时代下不同形式课程开发的运营模式。</w:t>
      </w:r>
    </w:p>
    <w:p w14:paraId="29011A39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7）新媒体时代培训管理者升级“四会一有”</w:t>
      </w:r>
    </w:p>
    <w:p w14:paraId="2A57BF3F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3、如何让内训师体系有效支撑业务发展</w:t>
      </w:r>
    </w:p>
    <w:p w14:paraId="035092C1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1）四种类型的课程项目设计：</w:t>
      </w:r>
    </w:p>
    <w:p w14:paraId="451AB8CD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①基于业务流程的课程项目设计</w:t>
      </w:r>
    </w:p>
    <w:p w14:paraId="2D305D4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②基于业务问题的课程项目设计</w:t>
      </w:r>
    </w:p>
    <w:p w14:paraId="33773E3E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③基于新业务拓展的课程项目设计</w:t>
      </w:r>
    </w:p>
    <w:p w14:paraId="009B9503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④调研访谈分析类课程项目设计）</w:t>
      </w:r>
    </w:p>
    <w:p w14:paraId="6BB04850" w14:textId="77777777" w:rsidR="006B61DD" w:rsidRPr="00F5036F" w:rsidRDefault="006B61DD" w:rsidP="006B61DD">
      <w:pPr>
        <w:widowControl/>
        <w:snapToGrid w:val="0"/>
        <w:spacing w:line="340" w:lineRule="exact"/>
        <w:ind w:firstLineChars="59" w:firstLine="142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（二）内训师混合式课程开发与设计</w:t>
      </w:r>
    </w:p>
    <w:p w14:paraId="64D3160E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1、课程开发万能模型：SCAS模型</w:t>
      </w:r>
    </w:p>
    <w:p w14:paraId="1101F92C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1）一“定”观点</w:t>
      </w:r>
    </w:p>
    <w:p w14:paraId="13C0B78C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2）二“定”论点</w:t>
      </w:r>
    </w:p>
    <w:p w14:paraId="634E2FED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3）三“定”模型</w:t>
      </w:r>
    </w:p>
    <w:p w14:paraId="49918E88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2、线上常见类型课程制作</w:t>
      </w:r>
    </w:p>
    <w:p w14:paraId="7015E5C6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1）虚拟演播式的运用</w:t>
      </w:r>
    </w:p>
    <w:p w14:paraId="131CCC20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2）口播类真人出镜课程</w:t>
      </w:r>
    </w:p>
    <w:p w14:paraId="52CFB061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3）卡通动画类课程制作</w:t>
      </w:r>
    </w:p>
    <w:p w14:paraId="04AE6164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4）真人拍摄类微课制作</w:t>
      </w:r>
    </w:p>
    <w:p w14:paraId="30DAFF3D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3、直播类课程设计运用</w:t>
      </w:r>
    </w:p>
    <w:p w14:paraId="5C7E8CB1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1）直播设备的准备与运用</w:t>
      </w:r>
    </w:p>
    <w:p w14:paraId="7DE851B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2）六种教法-添趣味）</w:t>
      </w:r>
    </w:p>
    <w:p w14:paraId="5493DD81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4、AI数字运用（闪剪、先锋π</w:t>
      </w:r>
    </w:p>
    <w:p w14:paraId="47A579CD" w14:textId="77777777" w:rsidR="006B61DD" w:rsidRPr="00F5036F" w:rsidRDefault="006B61DD" w:rsidP="006B61DD">
      <w:pPr>
        <w:widowControl/>
        <w:snapToGrid w:val="0"/>
        <w:spacing w:line="340" w:lineRule="exact"/>
        <w:ind w:firstLineChars="59" w:firstLine="142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（三）AI工具在培训学习中的实战运用</w:t>
      </w:r>
    </w:p>
    <w:p w14:paraId="323E8271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1、写——AI在培训准备中的文案撰写</w:t>
      </w:r>
    </w:p>
    <w:p w14:paraId="231F0225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1）招投标方案撰写</w:t>
      </w:r>
    </w:p>
    <w:p w14:paraId="77A1F7CA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2）培训方案撰写</w:t>
      </w:r>
    </w:p>
    <w:p w14:paraId="1BAC02FC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3）培训问卷的制作</w:t>
      </w:r>
    </w:p>
    <w:p w14:paraId="30FB481A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4）调查问卷报告撰写</w:t>
      </w:r>
    </w:p>
    <w:p w14:paraId="3309DD05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2、设——AI在课程设计中的运用</w:t>
      </w:r>
    </w:p>
    <w:p w14:paraId="1C70DEE9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1）培训课题的美化</w:t>
      </w:r>
    </w:p>
    <w:p w14:paraId="31245F2C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2）培训大纲的制作</w:t>
      </w:r>
    </w:p>
    <w:p w14:paraId="5B63DC3F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3）培训PPT的制作</w:t>
      </w:r>
    </w:p>
    <w:p w14:paraId="21053EBF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4）培训图片检索与去水印</w:t>
      </w:r>
    </w:p>
    <w:p w14:paraId="6144E16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5）培训案例的撰写</w:t>
      </w:r>
    </w:p>
    <w:p w14:paraId="2A88193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6）培训游戏的设计</w:t>
      </w:r>
    </w:p>
    <w:p w14:paraId="423C22EE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7）语音海报制作</w:t>
      </w:r>
    </w:p>
    <w:p w14:paraId="1814D709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8）AI数字人微课制作</w:t>
      </w:r>
    </w:p>
    <w:p w14:paraId="728A2E30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3、评——AI在课后评估中的运用</w:t>
      </w:r>
    </w:p>
    <w:p w14:paraId="53FD2BC5" w14:textId="10A1DB1F" w:rsidR="006B61DD" w:rsidRPr="006B61DD" w:rsidRDefault="006B61DD" w:rsidP="00A1513F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1）培训试题的制作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2）培训评估问卷的设计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3）课程设计评分表</w:t>
      </w:r>
    </w:p>
    <w:p w14:paraId="319F7EC9" w14:textId="74A94215" w:rsidR="006B61DD" w:rsidRPr="006B61DD" w:rsidRDefault="006B61DD" w:rsidP="00A1513F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4）讲师试讲评分表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5）试师评分报告撰写</w:t>
      </w:r>
    </w:p>
    <w:p w14:paraId="4ECFA72E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4、索——AI在企业知识检索中的运用</w:t>
      </w:r>
    </w:p>
    <w:p w14:paraId="1B26A03E" w14:textId="4CEAE8C3" w:rsidR="006B61DD" w:rsidRPr="006B61DD" w:rsidRDefault="006B61DD" w:rsidP="00A1513F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1）文件材料的提练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2）书籍提练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3）知识分类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4）文件翻译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5）智能体生成）</w:t>
      </w:r>
    </w:p>
    <w:p w14:paraId="33DE3AEC" w14:textId="77777777" w:rsidR="006B61DD" w:rsidRPr="00F5036F" w:rsidRDefault="006B61DD" w:rsidP="006B61DD">
      <w:pPr>
        <w:widowControl/>
        <w:snapToGrid w:val="0"/>
        <w:spacing w:line="340" w:lineRule="exact"/>
        <w:ind w:firstLineChars="59" w:firstLine="142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（四）如何培养内训师授课表达与成效</w:t>
      </w:r>
    </w:p>
    <w:p w14:paraId="6F8745C0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1、新媒体时代的培训管理工作</w:t>
      </w:r>
    </w:p>
    <w:p w14:paraId="338BC4AC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1）培训师的选择与优化（广+精）</w:t>
      </w:r>
    </w:p>
    <w:p w14:paraId="1404BFF2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2）培训形式的选择与沟通</w:t>
      </w:r>
    </w:p>
    <w:p w14:paraId="15446901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3）培训平台的选择与构建</w:t>
      </w:r>
    </w:p>
    <w:p w14:paraId="7C7D06C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lastRenderedPageBreak/>
        <w:t>4）培训内容的开发与审核</w:t>
      </w:r>
    </w:p>
    <w:p w14:paraId="637A0211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5）培训师的包装与推广</w:t>
      </w:r>
    </w:p>
    <w:p w14:paraId="5AAE3717" w14:textId="77777777" w:rsidR="006B61DD" w:rsidRPr="006B61DD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6）复杂的培训运营工具）</w:t>
      </w:r>
    </w:p>
    <w:p w14:paraId="6884634A" w14:textId="77777777" w:rsidR="006B61DD" w:rsidRPr="00F5036F" w:rsidRDefault="006B61DD" w:rsidP="006B61DD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</w:pPr>
      <w:r w:rsidRPr="00F5036F">
        <w:rPr>
          <w:rFonts w:ascii="微软雅黑" w:eastAsia="微软雅黑" w:hAnsi="微软雅黑" w:cs="Times New Roman" w:hint="eastAsia"/>
          <w:b/>
          <w:bCs/>
          <w:sz w:val="24"/>
          <w:szCs w:val="24"/>
          <w14:ligatures w14:val="standardContextual"/>
        </w:rPr>
        <w:t>2、内训师的形象塑造</w:t>
      </w:r>
    </w:p>
    <w:p w14:paraId="4B8212FF" w14:textId="0E74135D" w:rsidR="00861379" w:rsidRPr="00A1513F" w:rsidRDefault="006B61DD" w:rsidP="00A1513F">
      <w:pPr>
        <w:widowControl/>
        <w:snapToGrid w:val="0"/>
        <w:spacing w:line="340" w:lineRule="exact"/>
        <w:ind w:firstLineChars="118" w:firstLine="283"/>
        <w:jc w:val="left"/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</w:pP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1）企业中的形象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2）个人形象塑造</w:t>
      </w:r>
      <w:r w:rsidR="00A1513F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 xml:space="preserve">  </w:t>
      </w:r>
      <w:r w:rsidRPr="006B61DD">
        <w:rPr>
          <w:rFonts w:ascii="微软雅黑" w:eastAsia="微软雅黑" w:hAnsi="微软雅黑" w:cs="Times New Roman" w:hint="eastAsia"/>
          <w:sz w:val="24"/>
          <w:szCs w:val="24"/>
          <w14:ligatures w14:val="standardContextual"/>
        </w:rPr>
        <w:t>3）舞台风范打造）</w:t>
      </w:r>
    </w:p>
    <w:p w14:paraId="581FA20B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Times New Roman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00D84990" w14:textId="2275E31D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2025年3月11日-3月14日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海口市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48ABB1C" w14:textId="6FE17115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2025年3月25日-3月28日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厦门市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（25日全天报道）</w:t>
      </w:r>
    </w:p>
    <w:p w14:paraId="5938D193" w14:textId="6A5085A5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2025年4月08日-4月11日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成都市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（08日全天报道）</w:t>
      </w:r>
    </w:p>
    <w:p w14:paraId="73CCE6C6" w14:textId="238C7743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2025年4月</w:t>
      </w:r>
      <w:r w:rsidR="005831BB">
        <w:rPr>
          <w:rFonts w:ascii="微软雅黑" w:eastAsia="微软雅黑" w:hAnsi="微软雅黑" w:cs="Times New Roman" w:hint="eastAsia"/>
          <w:sz w:val="24"/>
          <w:szCs w:val="24"/>
        </w:rPr>
        <w:t>22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日-4月</w:t>
      </w:r>
      <w:r w:rsidR="005831BB">
        <w:rPr>
          <w:rFonts w:ascii="微软雅黑" w:eastAsia="微软雅黑" w:hAnsi="微软雅黑" w:cs="Times New Roman" w:hint="eastAsia"/>
          <w:sz w:val="24"/>
          <w:szCs w:val="24"/>
        </w:rPr>
        <w:t>25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西安市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</w:t>
      </w:r>
      <w:r w:rsidR="005831BB">
        <w:rPr>
          <w:rFonts w:ascii="微软雅黑" w:eastAsia="微软雅黑" w:hAnsi="微软雅黑" w:cs="Times New Roman" w:hint="eastAsia"/>
          <w:sz w:val="24"/>
          <w:szCs w:val="24"/>
        </w:rPr>
        <w:t>22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日全天报道）</w:t>
      </w:r>
    </w:p>
    <w:p w14:paraId="16BE29E0" w14:textId="290C99A6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2025年5月13日-5月16日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上海市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（13日全天报道）</w:t>
      </w:r>
    </w:p>
    <w:p w14:paraId="1859383D" w14:textId="3B316A2E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2025年5月20日-5月23日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珠海市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（20日全天报道）</w:t>
      </w:r>
    </w:p>
    <w:p w14:paraId="31CF490A" w14:textId="6BD50447" w:rsidR="00A1513F" w:rsidRPr="00A1513F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2025年6月10日-6月13日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重庆市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（10日全天报道）</w:t>
      </w:r>
    </w:p>
    <w:p w14:paraId="31540101" w14:textId="5E54ED36" w:rsidR="00861379" w:rsidRDefault="00A1513F" w:rsidP="00A1513F">
      <w:pPr>
        <w:tabs>
          <w:tab w:val="left" w:pos="1134"/>
        </w:tabs>
        <w:spacing w:line="320" w:lineRule="exact"/>
        <w:ind w:leftChars="136" w:left="543" w:hangingChars="107" w:hanging="257"/>
        <w:rPr>
          <w:rFonts w:ascii="微软雅黑" w:eastAsia="微软雅黑" w:hAnsi="微软雅黑" w:cs="Times New Roman" w:hint="eastAsia"/>
          <w:szCs w:val="21"/>
        </w:rPr>
      </w:pPr>
      <w:r w:rsidRPr="00A1513F">
        <w:rPr>
          <w:rFonts w:ascii="微软雅黑" w:eastAsia="微软雅黑" w:hAnsi="微软雅黑" w:cs="Times New Roman" w:hint="eastAsia"/>
          <w:sz w:val="24"/>
          <w:szCs w:val="24"/>
        </w:rPr>
        <w:t>2025年6月24日-6月27日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ab/>
        <w:t>青岛市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A1513F">
        <w:rPr>
          <w:rFonts w:ascii="微软雅黑" w:eastAsia="微软雅黑" w:hAnsi="微软雅黑" w:cs="Times New Roman" w:hint="eastAsia"/>
          <w:sz w:val="24"/>
          <w:szCs w:val="24"/>
        </w:rPr>
        <w:t>（24日全天报道）</w:t>
      </w:r>
    </w:p>
    <w:p w14:paraId="7EB749F1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589CA6CC" w14:textId="0442B757" w:rsidR="00861379" w:rsidRDefault="006B61DD" w:rsidP="00BF0F1A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6B61DD">
        <w:rPr>
          <w:rFonts w:ascii="微软雅黑" w:eastAsia="微软雅黑" w:hAnsi="微软雅黑" w:hint="eastAsia"/>
          <w:sz w:val="24"/>
          <w:szCs w:val="24"/>
        </w:rPr>
        <w:t>1、企业HR部门：人力资源管理者、招聘人员、培训管理人员2、独立的人才发展与培训、企业培训中心、企业学院：培训管理人员、专兼职培训师3、党建培训、安全培训、企业技术任职资格管理培训人员4、企业内训师</w:t>
      </w:r>
    </w:p>
    <w:p w14:paraId="0CB7D0E1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02D50961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41D58636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378A9365" w14:textId="77777777" w:rsidR="00861379" w:rsidRDefault="00000000" w:rsidP="00BF0F1A">
      <w:pPr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5A456900" w14:textId="77777777" w:rsidR="00861379" w:rsidRDefault="00000000" w:rsidP="00BF0F1A">
      <w:pPr>
        <w:tabs>
          <w:tab w:val="left" w:pos="540"/>
        </w:tabs>
        <w:adjustRightInd w:val="0"/>
        <w:snapToGrid w:val="0"/>
        <w:spacing w:line="34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33DA00A3" w14:textId="77777777" w:rsidR="00861379" w:rsidRDefault="00000000" w:rsidP="00BF0F1A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4D574CAC" w14:textId="15030475" w:rsidR="00861379" w:rsidRDefault="00000000" w:rsidP="00BF0F1A">
      <w:pPr>
        <w:tabs>
          <w:tab w:val="left" w:pos="1134"/>
        </w:tabs>
        <w:spacing w:line="340" w:lineRule="exact"/>
        <w:ind w:firstLineChars="150" w:firstLine="36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1" w:name="_Hlk178149841"/>
      <w:r w:rsidR="006B61DD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</w:t>
      </w:r>
      <w:r w:rsidR="00BF0F1A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bookmarkEnd w:id="1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2" w:name="_Hlk17814977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="006B61DD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2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3" w:name="_Hlk185951688"/>
      <w:r w:rsidR="00F5036F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人力资源法务师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bookmarkEnd w:id="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7" w:history="1">
        <w:r w:rsidR="00861379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29254C0F" w14:textId="77777777" w:rsidR="00861379" w:rsidRDefault="00000000" w:rsidP="00BF0F1A">
      <w:pPr>
        <w:tabs>
          <w:tab w:val="left" w:pos="1134"/>
        </w:tabs>
        <w:spacing w:line="34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4" w:name="发文日期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16E3B2AB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13671212151（微信同号）</w:t>
      </w:r>
    </w:p>
    <w:p w14:paraId="384A0E15" w14:textId="77777777" w:rsidR="00861379" w:rsidRDefault="00000000" w:rsidP="00BF0F1A">
      <w:pPr>
        <w:tabs>
          <w:tab w:val="left" w:pos="1134"/>
        </w:tabs>
        <w:spacing w:line="34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0C0B0BCE" w14:textId="77777777" w:rsidR="00861379" w:rsidRDefault="00000000" w:rsidP="00BF0F1A">
      <w:pPr>
        <w:tabs>
          <w:tab w:val="left" w:pos="1134"/>
        </w:tabs>
        <w:spacing w:line="340" w:lineRule="exact"/>
        <w:ind w:leftChars="146" w:left="395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729BB756" wp14:editId="5AD5590C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1ED09EF3" w14:textId="77777777" w:rsidR="00861379" w:rsidRDefault="00000000" w:rsidP="00BF0F1A">
      <w:pPr>
        <w:tabs>
          <w:tab w:val="left" w:pos="1134"/>
        </w:tabs>
        <w:spacing w:line="340" w:lineRule="exact"/>
        <w:ind w:firstLineChars="100" w:firstLine="24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4"/>
    <w:p w14:paraId="446EA432" w14:textId="77777777" w:rsidR="00861379" w:rsidRDefault="00000000" w:rsidP="00BF0F1A">
      <w:pPr>
        <w:tabs>
          <w:tab w:val="left" w:pos="1134"/>
        </w:tabs>
        <w:spacing w:line="340" w:lineRule="exact"/>
        <w:ind w:firstLineChars="100" w:firstLine="24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639DFCC9" w14:textId="77777777" w:rsidR="00861379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EF79711" w14:textId="652D404D" w:rsidR="00861379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4353E2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月5日</w:t>
      </w:r>
    </w:p>
    <w:p w14:paraId="3B6B3E2B" w14:textId="77777777" w:rsidR="00861379" w:rsidRDefault="00861379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61379">
          <w:footerReference w:type="default" r:id="rId9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1C3CCD0B" w14:textId="140EA515" w:rsidR="00861379" w:rsidRDefault="00A1513F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A1513F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数智化时代企业核心骨干（内训师）能力提升暨AI提效能，企业内部矩阵式学习布局经验萃取与表达</w:t>
      </w:r>
      <w:r w:rsidR="00BF0F1A"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6392D52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61379" w14:paraId="43F3EB9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308B8FA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50AD06F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8F0274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01F1BC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913A8" w14:textId="77777777" w:rsidR="00861379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61379" w14:paraId="231FE419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FA3198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2F188B3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A2B2F2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B7DD9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27BB832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5FA33E9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4A51561" w14:textId="77777777" w:rsidR="00861379" w:rsidRDefault="00861379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1C31DAA5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9DAC7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EEDC70B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2F9AFDD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DC73F8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759E443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E9698C9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2702492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337CECE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057F8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70FAAEA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C0ABDC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5DC5D6FC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97E5446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E73B5F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8183824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42EA980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D2966F7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8601F4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A9C788D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FC994EF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33637B41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A7C2BB5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58A56FFB" w14:textId="77777777" w:rsidR="00861379" w:rsidRDefault="00861379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61379" w14:paraId="47197598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9D5637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A5628A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66310C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88327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1039B6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7D8D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345202C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12D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BF397B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10694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FA29C4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C5357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8B4EF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61379" w14:paraId="677570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94055F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42FCDB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F484A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92E9D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20D24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3E4B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61379" w14:paraId="08B09DE4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F6CB37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82E6E18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842649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619AE7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2474BF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43963A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8695AFD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AA5EB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A42A606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E8153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829B1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883F57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C3CE9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CC04A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CD4530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883344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C7A3D3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8C7A7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432CA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5D604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261070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7ED10DB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AC5D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861D9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329DFE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87E933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305C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C0C6062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F581ED8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12A402E3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390F7DB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225647E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6311E0EE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EED2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5A6B341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1DA756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04D7D109" w14:textId="77777777" w:rsidR="00861379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AF21A" w14:textId="77777777" w:rsidR="00861379" w:rsidRDefault="00861379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61379" w14:paraId="72B0C65E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373775FE" w14:textId="77777777" w:rsidR="00861379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□微信或支付宝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FA5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 w:rsidRPr="003A25D0"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20803CFF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2B70C26" w14:textId="77777777" w:rsidR="00861379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61379">
      <w:footerReference w:type="default" r:id="rId10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BF2BA" w14:textId="77777777" w:rsidR="00305A95" w:rsidRDefault="00305A95">
      <w:pPr>
        <w:rPr>
          <w:rFonts w:hint="eastAsia"/>
        </w:rPr>
      </w:pPr>
      <w:r>
        <w:separator/>
      </w:r>
    </w:p>
  </w:endnote>
  <w:endnote w:type="continuationSeparator" w:id="0">
    <w:p w14:paraId="26400A40" w14:textId="77777777" w:rsidR="00305A95" w:rsidRDefault="00305A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72F6" w14:textId="77777777" w:rsidR="00861379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4495" w14:textId="77777777" w:rsidR="00861379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616BDC6C" w14:textId="084A33D7" w:rsidR="00861379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 w:rsidR="00A02DA0"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67C0E" w14:textId="77777777" w:rsidR="00305A95" w:rsidRDefault="00305A95">
      <w:pPr>
        <w:rPr>
          <w:rFonts w:hint="eastAsia"/>
        </w:rPr>
      </w:pPr>
      <w:r>
        <w:separator/>
      </w:r>
    </w:p>
  </w:footnote>
  <w:footnote w:type="continuationSeparator" w:id="0">
    <w:p w14:paraId="60798D3A" w14:textId="77777777" w:rsidR="00305A95" w:rsidRDefault="00305A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46E5"/>
    <w:rsid w:val="001871A6"/>
    <w:rsid w:val="002C7A26"/>
    <w:rsid w:val="002E73F0"/>
    <w:rsid w:val="002F6E0A"/>
    <w:rsid w:val="00304B58"/>
    <w:rsid w:val="00305A95"/>
    <w:rsid w:val="0031040B"/>
    <w:rsid w:val="003172F6"/>
    <w:rsid w:val="003274E7"/>
    <w:rsid w:val="00332775"/>
    <w:rsid w:val="003A25D0"/>
    <w:rsid w:val="003C522E"/>
    <w:rsid w:val="003C710C"/>
    <w:rsid w:val="003D1DE1"/>
    <w:rsid w:val="003D26ED"/>
    <w:rsid w:val="00421609"/>
    <w:rsid w:val="004353E2"/>
    <w:rsid w:val="004553DE"/>
    <w:rsid w:val="004B3B72"/>
    <w:rsid w:val="005375D5"/>
    <w:rsid w:val="005769A6"/>
    <w:rsid w:val="00576C3B"/>
    <w:rsid w:val="005831BB"/>
    <w:rsid w:val="00594D9B"/>
    <w:rsid w:val="00595930"/>
    <w:rsid w:val="005B256F"/>
    <w:rsid w:val="005B334F"/>
    <w:rsid w:val="005C314C"/>
    <w:rsid w:val="005C7197"/>
    <w:rsid w:val="005F3DDF"/>
    <w:rsid w:val="00602A50"/>
    <w:rsid w:val="00605F67"/>
    <w:rsid w:val="00606CA2"/>
    <w:rsid w:val="006575CF"/>
    <w:rsid w:val="00670688"/>
    <w:rsid w:val="00684917"/>
    <w:rsid w:val="006A6830"/>
    <w:rsid w:val="006B61DD"/>
    <w:rsid w:val="006F7FAC"/>
    <w:rsid w:val="007265C5"/>
    <w:rsid w:val="00730E09"/>
    <w:rsid w:val="007332BF"/>
    <w:rsid w:val="00733733"/>
    <w:rsid w:val="00786ADA"/>
    <w:rsid w:val="00844CAB"/>
    <w:rsid w:val="00855DEC"/>
    <w:rsid w:val="00861379"/>
    <w:rsid w:val="00874DD5"/>
    <w:rsid w:val="00886838"/>
    <w:rsid w:val="008A0113"/>
    <w:rsid w:val="008C72FE"/>
    <w:rsid w:val="009800BC"/>
    <w:rsid w:val="009A6030"/>
    <w:rsid w:val="009B0E33"/>
    <w:rsid w:val="009C2639"/>
    <w:rsid w:val="009D68D8"/>
    <w:rsid w:val="009E2935"/>
    <w:rsid w:val="009E68F0"/>
    <w:rsid w:val="00A02AF7"/>
    <w:rsid w:val="00A02DA0"/>
    <w:rsid w:val="00A11011"/>
    <w:rsid w:val="00A1513F"/>
    <w:rsid w:val="00A15AFB"/>
    <w:rsid w:val="00A2069A"/>
    <w:rsid w:val="00A24BFF"/>
    <w:rsid w:val="00A30A8E"/>
    <w:rsid w:val="00A40954"/>
    <w:rsid w:val="00A47BC6"/>
    <w:rsid w:val="00A74A24"/>
    <w:rsid w:val="00A90ABA"/>
    <w:rsid w:val="00AA26FC"/>
    <w:rsid w:val="00B16217"/>
    <w:rsid w:val="00B51ACB"/>
    <w:rsid w:val="00BC6448"/>
    <w:rsid w:val="00BD49AA"/>
    <w:rsid w:val="00BF0F1A"/>
    <w:rsid w:val="00C61EDB"/>
    <w:rsid w:val="00C6236D"/>
    <w:rsid w:val="00C95421"/>
    <w:rsid w:val="00CE47AA"/>
    <w:rsid w:val="00CE4D8A"/>
    <w:rsid w:val="00D22F88"/>
    <w:rsid w:val="00D47F4B"/>
    <w:rsid w:val="00DB56E2"/>
    <w:rsid w:val="00E04847"/>
    <w:rsid w:val="00E4442A"/>
    <w:rsid w:val="00E543BF"/>
    <w:rsid w:val="00E61E54"/>
    <w:rsid w:val="00EA47E5"/>
    <w:rsid w:val="00ED3C06"/>
    <w:rsid w:val="00EE15B4"/>
    <w:rsid w:val="00F5036F"/>
    <w:rsid w:val="00F50FFD"/>
    <w:rsid w:val="00F634FB"/>
    <w:rsid w:val="00F73733"/>
    <w:rsid w:val="00FB347F"/>
    <w:rsid w:val="00FB7213"/>
    <w:rsid w:val="00FC1F5B"/>
    <w:rsid w:val="00FC4BEB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056E1"/>
  <w15:docId w15:val="{B662DA43-7FD4-4474-8C85-15C756B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4</cp:revision>
  <dcterms:created xsi:type="dcterms:W3CDTF">2025-01-02T05:24:00Z</dcterms:created>
  <dcterms:modified xsi:type="dcterms:W3CDTF">2025-01-07T09:22:00Z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929D4D0B1E444A36B16F4C8307FA3D19_12</vt:lpwstr>
  </property>
</Properties>
</file>